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06E" w:rsidRDefault="003D106E" w:rsidP="005C2A42">
      <w:pPr>
        <w:jc w:val="center"/>
        <w:rPr>
          <w:rFonts w:asciiTheme="majorHAnsi" w:hAnsiTheme="majorHAnsi" w:cstheme="majorHAnsi"/>
          <w:b/>
          <w:bCs/>
          <w:color w:val="FF0000"/>
          <w:sz w:val="24"/>
        </w:rPr>
      </w:pPr>
    </w:p>
    <w:p w:rsidR="005C2A42" w:rsidRPr="002B5CF3" w:rsidRDefault="00671342" w:rsidP="005C2A42">
      <w:pPr>
        <w:jc w:val="center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LA </w:t>
      </w:r>
      <w:r w:rsidR="00D50AC3" w:rsidRPr="002B5CF3">
        <w:rPr>
          <w:rFonts w:asciiTheme="majorHAnsi" w:hAnsiTheme="majorHAnsi" w:cstheme="majorHAnsi"/>
          <w:b/>
          <w:bCs/>
          <w:sz w:val="24"/>
        </w:rPr>
        <w:t xml:space="preserve">SOSTENIBILITA’ </w:t>
      </w:r>
      <w:r w:rsidR="00544654" w:rsidRPr="006D2B6B">
        <w:rPr>
          <w:rFonts w:asciiTheme="majorHAnsi" w:hAnsiTheme="majorHAnsi" w:cstheme="majorHAnsi"/>
          <w:b/>
          <w:bCs/>
          <w:sz w:val="24"/>
        </w:rPr>
        <w:t>CAMBIA LA</w:t>
      </w:r>
      <w:r w:rsidR="00544654">
        <w:rPr>
          <w:rFonts w:asciiTheme="majorHAnsi" w:hAnsiTheme="majorHAnsi" w:cstheme="majorHAnsi"/>
          <w:b/>
          <w:bCs/>
          <w:color w:val="FF0000"/>
          <w:sz w:val="24"/>
        </w:rPr>
        <w:t xml:space="preserve"> </w:t>
      </w:r>
      <w:r w:rsidR="008E30F1">
        <w:rPr>
          <w:rFonts w:asciiTheme="majorHAnsi" w:hAnsiTheme="majorHAnsi" w:cstheme="majorHAnsi"/>
          <w:b/>
          <w:bCs/>
          <w:sz w:val="24"/>
        </w:rPr>
        <w:t xml:space="preserve">GOVERNANCE DELLE </w:t>
      </w:r>
      <w:r w:rsidR="00D50AC3" w:rsidRPr="002B5CF3">
        <w:rPr>
          <w:rFonts w:asciiTheme="majorHAnsi" w:hAnsiTheme="majorHAnsi" w:cstheme="majorHAnsi"/>
          <w:b/>
          <w:bCs/>
          <w:sz w:val="24"/>
        </w:rPr>
        <w:t>QUOTATE ITALIANE</w:t>
      </w:r>
    </w:p>
    <w:p w:rsidR="00827C90" w:rsidRPr="00827C90" w:rsidRDefault="00827C90" w:rsidP="00827C90">
      <w:pPr>
        <w:jc w:val="center"/>
        <w:rPr>
          <w:rFonts w:asciiTheme="majorHAnsi" w:hAnsiTheme="majorHAnsi" w:cstheme="majorHAnsi"/>
          <w:b/>
          <w:bCs/>
          <w:sz w:val="24"/>
        </w:rPr>
      </w:pPr>
      <w:r w:rsidRPr="00827C90">
        <w:rPr>
          <w:rFonts w:asciiTheme="majorHAnsi" w:hAnsiTheme="majorHAnsi" w:cstheme="majorHAnsi"/>
          <w:b/>
          <w:bCs/>
          <w:sz w:val="24"/>
        </w:rPr>
        <w:t>Sempre più</w:t>
      </w:r>
      <w:r w:rsidR="008E30F1">
        <w:rPr>
          <w:rFonts w:asciiTheme="majorHAnsi" w:hAnsiTheme="majorHAnsi" w:cstheme="majorHAnsi"/>
          <w:b/>
          <w:bCs/>
          <w:sz w:val="24"/>
        </w:rPr>
        <w:t xml:space="preserve"> strategica e</w:t>
      </w:r>
      <w:r w:rsidRPr="00827C90">
        <w:rPr>
          <w:rFonts w:asciiTheme="majorHAnsi" w:hAnsiTheme="majorHAnsi" w:cstheme="majorHAnsi"/>
          <w:b/>
          <w:bCs/>
          <w:sz w:val="24"/>
        </w:rPr>
        <w:t xml:space="preserve"> integrata </w:t>
      </w:r>
      <w:r w:rsidR="008E30F1">
        <w:rPr>
          <w:rFonts w:asciiTheme="majorHAnsi" w:hAnsiTheme="majorHAnsi" w:cstheme="majorHAnsi"/>
          <w:b/>
          <w:bCs/>
          <w:sz w:val="24"/>
        </w:rPr>
        <w:t>nei C.d.A.</w:t>
      </w:r>
      <w:r w:rsidR="00F42083">
        <w:rPr>
          <w:rFonts w:asciiTheme="majorHAnsi" w:hAnsiTheme="majorHAnsi" w:cstheme="majorHAnsi"/>
          <w:b/>
          <w:bCs/>
          <w:sz w:val="24"/>
        </w:rPr>
        <w:t xml:space="preserve">, migliora la trasparenza delle aziende </w:t>
      </w:r>
      <w:bookmarkStart w:id="0" w:name="_GoBack"/>
      <w:bookmarkEnd w:id="0"/>
    </w:p>
    <w:p w:rsidR="004F28D2" w:rsidRDefault="008E30F1" w:rsidP="004F28D2">
      <w:pPr>
        <w:jc w:val="center"/>
        <w:rPr>
          <w:rFonts w:asciiTheme="majorHAnsi" w:hAnsiTheme="majorHAnsi" w:cstheme="majorHAnsi"/>
          <w:b/>
          <w:b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 xml:space="preserve">Ruolo chiave ai </w:t>
      </w:r>
      <w:r w:rsidR="00827C90" w:rsidRPr="00827C90">
        <w:rPr>
          <w:rFonts w:asciiTheme="majorHAnsi" w:hAnsiTheme="majorHAnsi" w:cstheme="majorHAnsi"/>
          <w:b/>
          <w:bCs/>
          <w:sz w:val="24"/>
        </w:rPr>
        <w:t xml:space="preserve">CSR manager </w:t>
      </w:r>
      <w:r w:rsidR="00F42083">
        <w:rPr>
          <w:rFonts w:asciiTheme="majorHAnsi" w:hAnsiTheme="majorHAnsi" w:cstheme="majorHAnsi"/>
          <w:b/>
          <w:bCs/>
          <w:sz w:val="24"/>
        </w:rPr>
        <w:t xml:space="preserve">e aumento degli </w:t>
      </w:r>
      <w:r>
        <w:rPr>
          <w:rFonts w:asciiTheme="majorHAnsi" w:hAnsiTheme="majorHAnsi" w:cstheme="majorHAnsi"/>
          <w:b/>
          <w:bCs/>
          <w:sz w:val="24"/>
        </w:rPr>
        <w:t>incentivi</w:t>
      </w:r>
      <w:r w:rsidR="00827C90" w:rsidRPr="00827C90">
        <w:rPr>
          <w:rFonts w:asciiTheme="majorHAnsi" w:hAnsiTheme="majorHAnsi" w:cstheme="majorHAnsi"/>
          <w:b/>
          <w:bCs/>
          <w:sz w:val="24"/>
        </w:rPr>
        <w:t xml:space="preserve"> legat</w:t>
      </w:r>
      <w:r>
        <w:rPr>
          <w:rFonts w:asciiTheme="majorHAnsi" w:hAnsiTheme="majorHAnsi" w:cstheme="majorHAnsi"/>
          <w:b/>
          <w:bCs/>
          <w:sz w:val="24"/>
        </w:rPr>
        <w:t>i</w:t>
      </w:r>
      <w:r w:rsidR="00827C90" w:rsidRPr="00827C90">
        <w:rPr>
          <w:rFonts w:asciiTheme="majorHAnsi" w:hAnsiTheme="majorHAnsi" w:cstheme="majorHAnsi"/>
          <w:b/>
          <w:bCs/>
          <w:sz w:val="24"/>
        </w:rPr>
        <w:t xml:space="preserve"> all</w:t>
      </w:r>
      <w:r w:rsidR="00F42083">
        <w:rPr>
          <w:rFonts w:asciiTheme="majorHAnsi" w:hAnsiTheme="majorHAnsi" w:cstheme="majorHAnsi"/>
          <w:b/>
          <w:bCs/>
          <w:sz w:val="24"/>
        </w:rPr>
        <w:t xml:space="preserve">e performance socio-ambientali </w:t>
      </w:r>
      <w:r w:rsidR="00A52559">
        <w:rPr>
          <w:rFonts w:asciiTheme="majorHAnsi" w:hAnsiTheme="majorHAnsi" w:cstheme="majorHAnsi"/>
          <w:b/>
          <w:bCs/>
          <w:sz w:val="24"/>
        </w:rPr>
        <w:br/>
      </w:r>
      <w:r w:rsidR="00F42083">
        <w:rPr>
          <w:rFonts w:asciiTheme="majorHAnsi" w:hAnsiTheme="majorHAnsi" w:cstheme="majorHAnsi"/>
          <w:b/>
          <w:bCs/>
          <w:sz w:val="24"/>
        </w:rPr>
        <w:t>al centro dello studio CSR Manager Network</w:t>
      </w:r>
      <w:r w:rsidR="00F42083" w:rsidRPr="002B5CF3">
        <w:rPr>
          <w:rFonts w:asciiTheme="majorHAnsi" w:hAnsiTheme="majorHAnsi" w:cstheme="majorHAnsi"/>
          <w:b/>
          <w:bCs/>
          <w:sz w:val="24"/>
        </w:rPr>
        <w:t xml:space="preserve"> </w:t>
      </w:r>
      <w:r w:rsidR="00F42083">
        <w:rPr>
          <w:rFonts w:asciiTheme="majorHAnsi" w:hAnsiTheme="majorHAnsi" w:cstheme="majorHAnsi"/>
          <w:b/>
          <w:bCs/>
          <w:sz w:val="24"/>
        </w:rPr>
        <w:t>e</w:t>
      </w:r>
      <w:r w:rsidR="00F42083" w:rsidRPr="00E42CDF">
        <w:rPr>
          <w:rFonts w:asciiTheme="majorHAnsi" w:hAnsiTheme="majorHAnsi" w:cstheme="majorHAnsi"/>
          <w:b/>
          <w:bCs/>
          <w:sz w:val="24"/>
        </w:rPr>
        <w:t xml:space="preserve"> ALTIS</w:t>
      </w:r>
      <w:r w:rsidR="00F42083">
        <w:rPr>
          <w:rFonts w:asciiTheme="majorHAnsi" w:hAnsiTheme="majorHAnsi" w:cstheme="majorHAnsi"/>
          <w:b/>
          <w:bCs/>
          <w:sz w:val="24"/>
        </w:rPr>
        <w:t xml:space="preserve"> in collaborazione con Assonime</w:t>
      </w:r>
    </w:p>
    <w:p w:rsidR="007E0B68" w:rsidRDefault="007E0B68" w:rsidP="00F42083">
      <w:pPr>
        <w:spacing w:after="120" w:line="240" w:lineRule="auto"/>
        <w:jc w:val="both"/>
        <w:rPr>
          <w:rFonts w:asciiTheme="majorHAnsi" w:hAnsiTheme="majorHAnsi"/>
          <w:i/>
        </w:rPr>
      </w:pPr>
    </w:p>
    <w:p w:rsidR="00671342" w:rsidRDefault="00FE13AF" w:rsidP="00F42083">
      <w:pPr>
        <w:spacing w:after="120" w:line="240" w:lineRule="auto"/>
        <w:jc w:val="both"/>
        <w:rPr>
          <w:rFonts w:asciiTheme="majorHAnsi" w:hAnsiTheme="majorHAnsi"/>
        </w:rPr>
      </w:pPr>
      <w:r w:rsidRPr="00E42CDF">
        <w:rPr>
          <w:rFonts w:asciiTheme="majorHAnsi" w:hAnsiTheme="majorHAnsi"/>
          <w:i/>
        </w:rPr>
        <w:t xml:space="preserve">Milano, </w:t>
      </w:r>
      <w:r w:rsidR="006B7E94">
        <w:rPr>
          <w:rFonts w:asciiTheme="majorHAnsi" w:hAnsiTheme="majorHAnsi"/>
          <w:i/>
        </w:rPr>
        <w:t>30 maggio</w:t>
      </w:r>
      <w:r w:rsidR="00A65AD4" w:rsidRPr="00E42CDF">
        <w:rPr>
          <w:rFonts w:asciiTheme="majorHAnsi" w:hAnsiTheme="majorHAnsi"/>
          <w:i/>
        </w:rPr>
        <w:t xml:space="preserve"> 201</w:t>
      </w:r>
      <w:r w:rsidR="006B7E94">
        <w:rPr>
          <w:rFonts w:asciiTheme="majorHAnsi" w:hAnsiTheme="majorHAnsi"/>
          <w:i/>
        </w:rPr>
        <w:t>9</w:t>
      </w:r>
      <w:r w:rsidRPr="00E42CDF">
        <w:rPr>
          <w:rFonts w:asciiTheme="majorHAnsi" w:hAnsiTheme="majorHAnsi"/>
        </w:rPr>
        <w:t xml:space="preserve"> –</w:t>
      </w:r>
      <w:r w:rsidR="002344D9" w:rsidRPr="00E42CDF">
        <w:rPr>
          <w:rFonts w:asciiTheme="majorHAnsi" w:hAnsiTheme="majorHAnsi"/>
        </w:rPr>
        <w:t xml:space="preserve"> </w:t>
      </w:r>
      <w:r w:rsidR="00671342" w:rsidRPr="009A56F3">
        <w:rPr>
          <w:rFonts w:asciiTheme="majorHAnsi" w:hAnsiTheme="majorHAnsi"/>
          <w:b/>
        </w:rPr>
        <w:t>Le imprese italiane</w:t>
      </w:r>
      <w:r w:rsidR="00F42083" w:rsidRPr="009A56F3">
        <w:rPr>
          <w:rFonts w:asciiTheme="majorHAnsi" w:hAnsiTheme="majorHAnsi"/>
          <w:b/>
        </w:rPr>
        <w:t xml:space="preserve"> pon</w:t>
      </w:r>
      <w:r w:rsidR="00671342" w:rsidRPr="009A56F3">
        <w:rPr>
          <w:rFonts w:asciiTheme="majorHAnsi" w:hAnsiTheme="majorHAnsi"/>
          <w:b/>
        </w:rPr>
        <w:t>gono</w:t>
      </w:r>
      <w:r w:rsidR="00F42083" w:rsidRPr="009A56F3">
        <w:rPr>
          <w:rFonts w:asciiTheme="majorHAnsi" w:hAnsiTheme="majorHAnsi"/>
          <w:b/>
        </w:rPr>
        <w:t xml:space="preserve"> </w:t>
      </w:r>
      <w:r w:rsidR="00671342" w:rsidRPr="009A56F3">
        <w:rPr>
          <w:rFonts w:asciiTheme="majorHAnsi" w:hAnsiTheme="majorHAnsi"/>
          <w:b/>
        </w:rPr>
        <w:t xml:space="preserve">la sostenibilità </w:t>
      </w:r>
      <w:r w:rsidR="00F42083" w:rsidRPr="009A56F3">
        <w:rPr>
          <w:rFonts w:asciiTheme="majorHAnsi" w:hAnsiTheme="majorHAnsi"/>
          <w:b/>
        </w:rPr>
        <w:t xml:space="preserve">sempre più al centro nei sistemi di governance </w:t>
      </w:r>
      <w:r w:rsidR="00671342" w:rsidRPr="009A56F3">
        <w:rPr>
          <w:rFonts w:asciiTheme="majorHAnsi" w:hAnsiTheme="majorHAnsi"/>
          <w:b/>
        </w:rPr>
        <w:t xml:space="preserve">e delle strategie di business, arrivando a raggiungere </w:t>
      </w:r>
      <w:r w:rsidR="00F42083" w:rsidRPr="009A56F3">
        <w:rPr>
          <w:rFonts w:asciiTheme="majorHAnsi" w:hAnsiTheme="majorHAnsi"/>
          <w:b/>
        </w:rPr>
        <w:t>il Regno Unito</w:t>
      </w:r>
      <w:r w:rsidR="00F42083">
        <w:rPr>
          <w:rFonts w:asciiTheme="majorHAnsi" w:hAnsiTheme="majorHAnsi"/>
        </w:rPr>
        <w:t xml:space="preserve">, </w:t>
      </w:r>
      <w:r w:rsidR="00F42083" w:rsidRPr="00F42083">
        <w:rPr>
          <w:rFonts w:asciiTheme="majorHAnsi" w:hAnsiTheme="majorHAnsi"/>
        </w:rPr>
        <w:t>da sempre all’avanguardia</w:t>
      </w:r>
      <w:r w:rsidR="00F42083">
        <w:rPr>
          <w:rFonts w:asciiTheme="majorHAnsi" w:hAnsiTheme="majorHAnsi"/>
        </w:rPr>
        <w:t xml:space="preserve"> in questo campo.</w:t>
      </w:r>
      <w:r w:rsidR="00671342">
        <w:rPr>
          <w:rFonts w:asciiTheme="majorHAnsi" w:hAnsiTheme="majorHAnsi"/>
        </w:rPr>
        <w:t xml:space="preserve"> </w:t>
      </w:r>
    </w:p>
    <w:p w:rsidR="00095DB0" w:rsidRDefault="00F42083" w:rsidP="00F22446">
      <w:pP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È quanto emerge </w:t>
      </w:r>
      <w:r w:rsidR="00671342">
        <w:rPr>
          <w:rFonts w:asciiTheme="majorHAnsi" w:hAnsiTheme="majorHAnsi"/>
        </w:rPr>
        <w:t>dal</w:t>
      </w:r>
      <w:r w:rsidR="00A52559">
        <w:rPr>
          <w:rFonts w:asciiTheme="majorHAnsi" w:hAnsiTheme="majorHAnsi"/>
        </w:rPr>
        <w:t xml:space="preserve">lo </w:t>
      </w:r>
      <w:r w:rsidR="00671342" w:rsidRPr="009A56F3">
        <w:rPr>
          <w:rFonts w:asciiTheme="majorHAnsi" w:hAnsiTheme="majorHAnsi"/>
          <w:b/>
        </w:rPr>
        <w:t xml:space="preserve">studio </w:t>
      </w:r>
      <w:r w:rsidR="00671342" w:rsidRPr="009A56F3">
        <w:rPr>
          <w:rFonts w:asciiTheme="majorHAnsi" w:hAnsiTheme="majorHAnsi"/>
          <w:b/>
          <w:i/>
        </w:rPr>
        <w:t>“C.d.A. e politiche di sostenibilità</w:t>
      </w:r>
      <w:r w:rsidR="00E61DAF" w:rsidRPr="009A56F3">
        <w:rPr>
          <w:rFonts w:asciiTheme="majorHAnsi" w:hAnsiTheme="majorHAnsi"/>
          <w:b/>
          <w:i/>
        </w:rPr>
        <w:t xml:space="preserve"> – Rapporto 2018</w:t>
      </w:r>
      <w:r w:rsidR="00671342" w:rsidRPr="009A56F3">
        <w:rPr>
          <w:rFonts w:asciiTheme="majorHAnsi" w:hAnsiTheme="majorHAnsi"/>
          <w:b/>
          <w:i/>
        </w:rPr>
        <w:t>”</w:t>
      </w:r>
      <w:r w:rsidR="00671342" w:rsidRPr="00671342">
        <w:rPr>
          <w:rFonts w:asciiTheme="majorHAnsi" w:hAnsiTheme="majorHAnsi"/>
        </w:rPr>
        <w:t xml:space="preserve"> </w:t>
      </w:r>
      <w:r w:rsidR="003D106E" w:rsidRPr="003D106E">
        <w:rPr>
          <w:rFonts w:asciiTheme="majorHAnsi" w:hAnsiTheme="majorHAnsi"/>
          <w:b/>
        </w:rPr>
        <w:t>presentato oggi a Milano</w:t>
      </w:r>
      <w:r w:rsidR="003D106E">
        <w:rPr>
          <w:rFonts w:asciiTheme="majorHAnsi" w:hAnsiTheme="majorHAnsi"/>
        </w:rPr>
        <w:t xml:space="preserve"> e </w:t>
      </w:r>
      <w:r w:rsidR="00671342">
        <w:rPr>
          <w:rFonts w:asciiTheme="majorHAnsi" w:hAnsiTheme="majorHAnsi"/>
        </w:rPr>
        <w:t>condotto</w:t>
      </w:r>
      <w:r w:rsidR="00D948AF">
        <w:rPr>
          <w:rFonts w:asciiTheme="majorHAnsi" w:hAnsiTheme="majorHAnsi"/>
        </w:rPr>
        <w:t xml:space="preserve"> attraverso questionari e analisi della documentazione aziendale </w:t>
      </w:r>
      <w:r w:rsidR="00671342">
        <w:rPr>
          <w:rFonts w:asciiTheme="majorHAnsi" w:hAnsiTheme="majorHAnsi"/>
        </w:rPr>
        <w:t>sulle</w:t>
      </w:r>
      <w:r w:rsidR="00671342" w:rsidRPr="006F5C7F">
        <w:rPr>
          <w:rFonts w:asciiTheme="majorHAnsi" w:hAnsiTheme="majorHAnsi"/>
        </w:rPr>
        <w:t xml:space="preserve"> </w:t>
      </w:r>
      <w:r w:rsidR="00671342" w:rsidRPr="009A56F3">
        <w:rPr>
          <w:rFonts w:asciiTheme="majorHAnsi" w:hAnsiTheme="majorHAnsi"/>
          <w:b/>
        </w:rPr>
        <w:t>principali aziende quotate in Italia</w:t>
      </w:r>
      <w:r w:rsidR="00671342" w:rsidRPr="006F5C7F">
        <w:rPr>
          <w:rFonts w:asciiTheme="majorHAnsi" w:hAnsiTheme="majorHAnsi"/>
        </w:rPr>
        <w:t xml:space="preserve"> (</w:t>
      </w:r>
      <w:r w:rsidR="009A56F3">
        <w:rPr>
          <w:rFonts w:asciiTheme="majorHAnsi" w:hAnsiTheme="majorHAnsi"/>
        </w:rPr>
        <w:t xml:space="preserve">40 aziende del segmento </w:t>
      </w:r>
      <w:r w:rsidR="00671342" w:rsidRPr="006F5C7F">
        <w:rPr>
          <w:rFonts w:asciiTheme="majorHAnsi" w:hAnsiTheme="majorHAnsi"/>
        </w:rPr>
        <w:t>FTSE MIB)</w:t>
      </w:r>
      <w:r w:rsidR="00A52559">
        <w:rPr>
          <w:rFonts w:asciiTheme="majorHAnsi" w:hAnsiTheme="majorHAnsi"/>
        </w:rPr>
        <w:t xml:space="preserve">. È la terza edizione della ricerca realizzata </w:t>
      </w:r>
      <w:r w:rsidR="00671342" w:rsidRPr="00671342">
        <w:rPr>
          <w:rFonts w:asciiTheme="majorHAnsi" w:hAnsiTheme="majorHAnsi"/>
        </w:rPr>
        <w:t xml:space="preserve">dal </w:t>
      </w:r>
      <w:hyperlink r:id="rId7" w:history="1">
        <w:r w:rsidR="00671342" w:rsidRPr="00E42CDF">
          <w:rPr>
            <w:rStyle w:val="Collegamentoipertestuale"/>
            <w:rFonts w:asciiTheme="majorHAnsi" w:hAnsiTheme="majorHAnsi" w:cstheme="majorHAnsi"/>
            <w:b/>
          </w:rPr>
          <w:t>CSR Manager Network</w:t>
        </w:r>
      </w:hyperlink>
      <w:r w:rsidR="00A52559">
        <w:rPr>
          <w:rFonts w:asciiTheme="majorHAnsi" w:hAnsiTheme="majorHAnsi" w:cstheme="majorHAnsi"/>
        </w:rPr>
        <w:t>, l’</w:t>
      </w:r>
      <w:r w:rsidR="00671342" w:rsidRPr="00E42CDF">
        <w:rPr>
          <w:rFonts w:asciiTheme="majorHAnsi" w:hAnsiTheme="majorHAnsi" w:cstheme="majorHAnsi"/>
          <w:lang w:eastAsia="it-IT"/>
        </w:rPr>
        <w:t>associazione italiana che riunisce oltre 1</w:t>
      </w:r>
      <w:r w:rsidR="00671342">
        <w:rPr>
          <w:rFonts w:asciiTheme="majorHAnsi" w:hAnsiTheme="majorHAnsi" w:cstheme="majorHAnsi"/>
          <w:lang w:eastAsia="it-IT"/>
        </w:rPr>
        <w:t>5</w:t>
      </w:r>
      <w:r w:rsidR="00671342" w:rsidRPr="00E42CDF">
        <w:rPr>
          <w:rFonts w:asciiTheme="majorHAnsi" w:hAnsiTheme="majorHAnsi" w:cstheme="majorHAnsi"/>
          <w:lang w:eastAsia="it-IT"/>
        </w:rPr>
        <w:t xml:space="preserve">0 professionisti </w:t>
      </w:r>
      <w:r w:rsidR="00671342">
        <w:rPr>
          <w:rFonts w:asciiTheme="majorHAnsi" w:hAnsiTheme="majorHAnsi" w:cstheme="majorHAnsi"/>
          <w:lang w:eastAsia="it-IT"/>
        </w:rPr>
        <w:t xml:space="preserve">e manager della </w:t>
      </w:r>
      <w:r w:rsidR="00671342" w:rsidRPr="00E42CDF">
        <w:rPr>
          <w:rFonts w:asciiTheme="majorHAnsi" w:hAnsiTheme="majorHAnsi" w:cstheme="majorHAnsi"/>
          <w:lang w:eastAsia="it-IT"/>
        </w:rPr>
        <w:t>sostenibilità</w:t>
      </w:r>
      <w:r w:rsidR="00671342" w:rsidRPr="00E42CDF">
        <w:rPr>
          <w:rFonts w:asciiTheme="majorHAnsi" w:hAnsiTheme="majorHAnsi" w:cstheme="majorHAnsi"/>
          <w:b/>
          <w:lang w:eastAsia="it-IT"/>
        </w:rPr>
        <w:t xml:space="preserve"> </w:t>
      </w:r>
      <w:r w:rsidR="00671342" w:rsidRPr="00671342">
        <w:rPr>
          <w:rFonts w:asciiTheme="majorHAnsi" w:hAnsiTheme="majorHAnsi"/>
        </w:rPr>
        <w:t xml:space="preserve">e dai ricercatori di </w:t>
      </w:r>
      <w:hyperlink r:id="rId8" w:history="1">
        <w:r w:rsidR="00671342" w:rsidRPr="00E42CDF">
          <w:rPr>
            <w:rStyle w:val="Collegamentoipertestuale"/>
            <w:rFonts w:asciiTheme="majorHAnsi" w:hAnsiTheme="majorHAnsi"/>
            <w:b/>
          </w:rPr>
          <w:t>ALTIS</w:t>
        </w:r>
        <w:r w:rsidR="00671342" w:rsidRPr="00E42CDF">
          <w:rPr>
            <w:rStyle w:val="Collegamentoipertestuale"/>
            <w:rFonts w:asciiTheme="majorHAnsi" w:hAnsiTheme="majorHAnsi"/>
          </w:rPr>
          <w:t xml:space="preserve"> </w:t>
        </w:r>
      </w:hyperlink>
      <w:r w:rsidR="00671342" w:rsidRPr="00671342">
        <w:rPr>
          <w:rFonts w:asciiTheme="majorHAnsi" w:hAnsiTheme="majorHAnsi"/>
        </w:rPr>
        <w:t>-</w:t>
      </w:r>
      <w:r w:rsidR="00671342">
        <w:rPr>
          <w:rFonts w:asciiTheme="majorHAnsi" w:hAnsiTheme="majorHAnsi"/>
        </w:rPr>
        <w:t xml:space="preserve"> </w:t>
      </w:r>
      <w:r w:rsidR="00671342" w:rsidRPr="00671342">
        <w:rPr>
          <w:rFonts w:asciiTheme="majorHAnsi" w:hAnsiTheme="majorHAnsi"/>
        </w:rPr>
        <w:t xml:space="preserve">Alta Scuola Impresa e Società dell’Università Cattolica del Sacro Cuore, in collaborazione con </w:t>
      </w:r>
      <w:hyperlink r:id="rId9" w:history="1">
        <w:r w:rsidR="00671342" w:rsidRPr="00E42CDF">
          <w:rPr>
            <w:rStyle w:val="Collegamentoipertestuale"/>
            <w:rFonts w:asciiTheme="majorHAnsi" w:hAnsiTheme="majorHAnsi"/>
            <w:b/>
          </w:rPr>
          <w:t>Assonime</w:t>
        </w:r>
      </w:hyperlink>
      <w:r w:rsidR="00671342" w:rsidRPr="00E42CDF">
        <w:rPr>
          <w:rFonts w:asciiTheme="majorHAnsi" w:hAnsiTheme="majorHAnsi"/>
        </w:rPr>
        <w:t xml:space="preserve"> (Associazione fra le società italiane per azioni)</w:t>
      </w:r>
      <w:r w:rsidR="00671342">
        <w:rPr>
          <w:rFonts w:asciiTheme="majorHAnsi" w:hAnsiTheme="majorHAnsi"/>
        </w:rPr>
        <w:t>.</w:t>
      </w:r>
      <w:r w:rsidR="009A56F3">
        <w:rPr>
          <w:rFonts w:asciiTheme="majorHAnsi" w:hAnsiTheme="majorHAnsi"/>
        </w:rPr>
        <w:t xml:space="preserve"> Lo studio è stato elaborato grazie al supporto di </w:t>
      </w:r>
      <w:r w:rsidR="002344D9" w:rsidRPr="00E42CDF">
        <w:rPr>
          <w:rFonts w:asciiTheme="majorHAnsi" w:hAnsiTheme="majorHAnsi"/>
          <w:b/>
        </w:rPr>
        <w:t xml:space="preserve">Enel, </w:t>
      </w:r>
      <w:r w:rsidR="00671342">
        <w:rPr>
          <w:rFonts w:asciiTheme="majorHAnsi" w:hAnsiTheme="majorHAnsi"/>
          <w:b/>
        </w:rPr>
        <w:t>Acea</w:t>
      </w:r>
      <w:r w:rsidR="002344D9" w:rsidRPr="00E42CDF">
        <w:rPr>
          <w:rFonts w:asciiTheme="majorHAnsi" w:hAnsiTheme="majorHAnsi"/>
          <w:b/>
        </w:rPr>
        <w:t>, Costa Crociere, Gruppo Hera, KPMG</w:t>
      </w:r>
      <w:r w:rsidR="002344D9" w:rsidRPr="00E42CDF">
        <w:rPr>
          <w:rFonts w:asciiTheme="majorHAnsi" w:hAnsiTheme="majorHAnsi"/>
        </w:rPr>
        <w:t xml:space="preserve"> e </w:t>
      </w:r>
      <w:r w:rsidR="002344D9" w:rsidRPr="00E42CDF">
        <w:rPr>
          <w:rFonts w:asciiTheme="majorHAnsi" w:hAnsiTheme="majorHAnsi"/>
          <w:b/>
        </w:rPr>
        <w:t>Terna</w:t>
      </w:r>
      <w:r w:rsidR="002344D9" w:rsidRPr="00E42CDF">
        <w:rPr>
          <w:rFonts w:asciiTheme="majorHAnsi" w:hAnsiTheme="majorHAnsi"/>
        </w:rPr>
        <w:t>.</w:t>
      </w:r>
    </w:p>
    <w:p w:rsidR="00F03A35" w:rsidRPr="00E42CDF" w:rsidRDefault="00F03A35" w:rsidP="00095DB0">
      <w:pPr>
        <w:spacing w:after="120" w:line="240" w:lineRule="auto"/>
        <w:jc w:val="both"/>
        <w:rPr>
          <w:rFonts w:asciiTheme="majorHAnsi" w:hAnsiTheme="majorHAnsi"/>
          <w:sz w:val="2"/>
        </w:rPr>
      </w:pPr>
    </w:p>
    <w:p w:rsidR="006B7E94" w:rsidRDefault="00095DB0" w:rsidP="006B7E9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i/>
          <w:sz w:val="22"/>
          <w:szCs w:val="22"/>
        </w:rPr>
      </w:pPr>
      <w:r w:rsidRPr="00A52559">
        <w:rPr>
          <w:rFonts w:asciiTheme="majorHAnsi" w:hAnsiTheme="majorHAnsi"/>
          <w:i/>
          <w:sz w:val="22"/>
          <w:szCs w:val="22"/>
        </w:rPr>
        <w:t>“</w:t>
      </w:r>
      <w:r w:rsidR="00A52559" w:rsidRPr="00A52559">
        <w:rPr>
          <w:rFonts w:asciiTheme="majorHAnsi" w:hAnsiTheme="majorHAnsi"/>
          <w:i/>
          <w:sz w:val="22"/>
          <w:szCs w:val="22"/>
        </w:rPr>
        <w:t>Il CSR Manager Network da oltre 13 anni è al fianco dei professionisti della sostenibilità</w:t>
      </w:r>
      <w:r w:rsidR="00A52559">
        <w:rPr>
          <w:rFonts w:asciiTheme="majorHAnsi" w:hAnsiTheme="majorHAnsi"/>
          <w:i/>
          <w:sz w:val="22"/>
          <w:szCs w:val="22"/>
        </w:rPr>
        <w:t xml:space="preserve">, attraverso ricerche originali, tavoli di lavoro e workshop, in partnership </w:t>
      </w:r>
      <w:r w:rsidR="00A52559" w:rsidRPr="00A52559">
        <w:rPr>
          <w:rFonts w:asciiTheme="majorHAnsi" w:hAnsiTheme="majorHAnsi"/>
          <w:i/>
          <w:sz w:val="22"/>
          <w:szCs w:val="22"/>
        </w:rPr>
        <w:t xml:space="preserve">con </w:t>
      </w:r>
      <w:r w:rsidR="00A52559">
        <w:rPr>
          <w:rFonts w:asciiTheme="majorHAnsi" w:hAnsiTheme="majorHAnsi"/>
          <w:i/>
          <w:sz w:val="22"/>
          <w:szCs w:val="22"/>
        </w:rPr>
        <w:t>le</w:t>
      </w:r>
      <w:r w:rsidR="00A52559" w:rsidRPr="00A52559">
        <w:rPr>
          <w:rFonts w:asciiTheme="majorHAnsi" w:hAnsiTheme="majorHAnsi"/>
          <w:i/>
          <w:sz w:val="22"/>
          <w:szCs w:val="22"/>
        </w:rPr>
        <w:t xml:space="preserve"> </w:t>
      </w:r>
      <w:r w:rsidR="00A52559">
        <w:rPr>
          <w:rFonts w:asciiTheme="majorHAnsi" w:hAnsiTheme="majorHAnsi"/>
          <w:i/>
          <w:sz w:val="22"/>
          <w:szCs w:val="22"/>
        </w:rPr>
        <w:t>più autorevoli organizzazioni che si occupano si management e sostenibilità</w:t>
      </w:r>
      <w:r w:rsidRPr="00A52559"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  <w:t>”</w:t>
      </w:r>
      <w:r w:rsidRPr="00E42CDF"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  <w:t xml:space="preserve"> </w:t>
      </w:r>
      <w:r w:rsidRPr="00E42CDF">
        <w:rPr>
          <w:rFonts w:asciiTheme="majorHAnsi" w:eastAsiaTheme="minorHAnsi" w:hAnsiTheme="majorHAnsi" w:cstheme="minorBidi"/>
          <w:sz w:val="22"/>
          <w:szCs w:val="22"/>
          <w:lang w:eastAsia="en-US"/>
        </w:rPr>
        <w:t>–</w:t>
      </w:r>
      <w:r w:rsidR="00F22446" w:rsidRPr="00E42CDF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42CDF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afferma </w:t>
      </w:r>
      <w:r w:rsidRPr="00E42CDF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Fulvio Rossi, </w:t>
      </w:r>
      <w:r w:rsidR="006D2B6B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P</w:t>
      </w:r>
      <w:r w:rsidRPr="00E42CDF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residente del CSR Manager Network e </w:t>
      </w:r>
      <w:r w:rsidR="00934BBD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R</w:t>
      </w:r>
      <w:r w:rsidR="005F325B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esponsabile Sostenibilità di </w:t>
      </w:r>
      <w:r w:rsidRPr="00E42CDF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Terna</w:t>
      </w:r>
      <w:r w:rsidR="005F325B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5F325B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SpA</w:t>
      </w:r>
      <w:proofErr w:type="spellEnd"/>
      <w:r w:rsidR="006A334E" w:rsidRPr="00E42CDF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 </w:t>
      </w:r>
      <w:r w:rsidRPr="00E42CDF">
        <w:rPr>
          <w:rFonts w:asciiTheme="majorHAnsi" w:eastAsiaTheme="minorHAnsi" w:hAnsiTheme="majorHAnsi" w:cstheme="minorBidi"/>
          <w:sz w:val="22"/>
          <w:szCs w:val="22"/>
          <w:lang w:eastAsia="en-US"/>
        </w:rPr>
        <w:t xml:space="preserve">– </w:t>
      </w:r>
      <w:r w:rsidR="00A52559" w:rsidRPr="006D2B6B">
        <w:rPr>
          <w:rFonts w:asciiTheme="majorHAnsi" w:hAnsiTheme="majorHAnsi"/>
          <w:i/>
          <w:sz w:val="22"/>
          <w:szCs w:val="22"/>
        </w:rPr>
        <w:t>“</w:t>
      </w:r>
      <w:r w:rsidR="00544654" w:rsidRPr="006D2B6B">
        <w:rPr>
          <w:rFonts w:asciiTheme="majorHAnsi" w:hAnsiTheme="majorHAnsi"/>
          <w:i/>
          <w:sz w:val="22"/>
          <w:szCs w:val="22"/>
        </w:rPr>
        <w:t>La ricerca di quest’anno conferma la crescita della presenza di temi di sostenibilità nei CdA</w:t>
      </w:r>
      <w:r w:rsidR="00482642" w:rsidRPr="006D2B6B">
        <w:rPr>
          <w:rFonts w:asciiTheme="majorHAnsi" w:hAnsiTheme="majorHAnsi"/>
          <w:i/>
          <w:sz w:val="22"/>
          <w:szCs w:val="22"/>
        </w:rPr>
        <w:t xml:space="preserve">, </w:t>
      </w:r>
      <w:r w:rsidR="001758FF" w:rsidRPr="006D2B6B">
        <w:rPr>
          <w:rFonts w:asciiTheme="majorHAnsi" w:hAnsiTheme="majorHAnsi"/>
          <w:i/>
          <w:sz w:val="22"/>
          <w:szCs w:val="22"/>
        </w:rPr>
        <w:t>ma evidenzia anche aree di potenziale miglioramento, ad esempio in termini di sistemi di incentivazioni, che sono un indicatore rilevante di una integrazione sostanziale</w:t>
      </w:r>
      <w:r w:rsidR="00A52559" w:rsidRPr="006D2B6B">
        <w:rPr>
          <w:rFonts w:asciiTheme="majorHAnsi" w:hAnsiTheme="majorHAnsi"/>
          <w:i/>
          <w:sz w:val="22"/>
          <w:szCs w:val="22"/>
        </w:rPr>
        <w:t>”</w:t>
      </w:r>
      <w:r w:rsidR="00953A64">
        <w:rPr>
          <w:rFonts w:asciiTheme="majorHAnsi" w:hAnsiTheme="majorHAnsi"/>
          <w:i/>
          <w:sz w:val="22"/>
          <w:szCs w:val="22"/>
        </w:rPr>
        <w:t>.</w:t>
      </w:r>
    </w:p>
    <w:p w:rsidR="00C83656" w:rsidRDefault="00C83656" w:rsidP="006B7E9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i/>
          <w:sz w:val="22"/>
          <w:szCs w:val="22"/>
        </w:rPr>
      </w:pPr>
    </w:p>
    <w:p w:rsidR="00C83656" w:rsidRDefault="00C83656" w:rsidP="006B7E9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</w:pPr>
      <w:r w:rsidRPr="00C83656">
        <w:rPr>
          <w:rFonts w:asciiTheme="majorHAnsi" w:hAnsiTheme="majorHAnsi"/>
          <w:sz w:val="22"/>
          <w:szCs w:val="22"/>
        </w:rPr>
        <w:t>Commenta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C83656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Matteo Pedrini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,</w:t>
      </w:r>
      <w:r w:rsidRPr="00C83656"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 xml:space="preserve"> Responsabile Area Ricerca ALTIS</w:t>
      </w:r>
      <w:r>
        <w:rPr>
          <w:rFonts w:asciiTheme="majorHAnsi" w:eastAsiaTheme="minorHAnsi" w:hAnsiTheme="majorHAnsi" w:cstheme="minorBidi"/>
          <w:b/>
          <w:sz w:val="22"/>
          <w:szCs w:val="22"/>
          <w:lang w:eastAsia="en-US"/>
        </w:rPr>
        <w:t>:</w:t>
      </w:r>
      <w:r>
        <w:t xml:space="preserve"> </w:t>
      </w:r>
      <w:r w:rsidRPr="00C83656">
        <w:rPr>
          <w:rFonts w:asciiTheme="majorHAnsi" w:hAnsiTheme="majorHAnsi"/>
          <w:i/>
          <w:sz w:val="22"/>
          <w:szCs w:val="22"/>
        </w:rPr>
        <w:t>“Siamo a un punto di svolta. Il grado di integrazione della sostenibilità nella corporate governance delle principali aziende italiane è allineato col Regno Unito, da sempre un punto di riferimento a riguardo.</w:t>
      </w:r>
      <w:r>
        <w:rPr>
          <w:rFonts w:asciiTheme="majorHAnsi" w:hAnsiTheme="majorHAnsi"/>
          <w:i/>
          <w:sz w:val="22"/>
          <w:szCs w:val="22"/>
        </w:rPr>
        <w:t xml:space="preserve"> </w:t>
      </w:r>
      <w:r w:rsidRPr="00C83656">
        <w:rPr>
          <w:rFonts w:asciiTheme="majorHAnsi" w:hAnsiTheme="majorHAnsi"/>
          <w:i/>
          <w:sz w:val="22"/>
          <w:szCs w:val="22"/>
        </w:rPr>
        <w:t>Le aziende italiane si sono attrezzate per un cambio di marcia verso nuovi modelli sempre più sostenibili. Siamo solo l’inizio di un cammino, ma ormai è evidente come la sostenibilità sia divenuta un elemento ineluttabile per le imprese”</w:t>
      </w:r>
      <w:r>
        <w:rPr>
          <w:rFonts w:asciiTheme="majorHAnsi" w:hAnsiTheme="majorHAnsi"/>
          <w:i/>
          <w:sz w:val="22"/>
          <w:szCs w:val="22"/>
        </w:rPr>
        <w:t>.</w:t>
      </w:r>
    </w:p>
    <w:p w:rsidR="001D133B" w:rsidRDefault="001D133B" w:rsidP="006B7E94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eastAsiaTheme="minorHAnsi" w:hAnsiTheme="majorHAnsi" w:cstheme="minorBidi"/>
          <w:i/>
          <w:sz w:val="22"/>
          <w:szCs w:val="22"/>
          <w:lang w:eastAsia="en-US"/>
        </w:rPr>
      </w:pPr>
    </w:p>
    <w:p w:rsidR="00D8148A" w:rsidRPr="001D133B" w:rsidRDefault="00EC7B07" w:rsidP="00D8148A">
      <w:pPr>
        <w:spacing w:after="0" w:line="240" w:lineRule="auto"/>
        <w:rPr>
          <w:rFonts w:eastAsia="Times New Roman"/>
          <w:i/>
          <w:u w:val="single"/>
        </w:rPr>
      </w:pPr>
      <w:r w:rsidRPr="001D133B">
        <w:rPr>
          <w:rFonts w:asciiTheme="majorHAnsi" w:hAnsiTheme="majorHAnsi"/>
          <w:b/>
          <w:bCs/>
          <w:i/>
          <w:u w:val="single"/>
        </w:rPr>
        <w:t>Spazio</w:t>
      </w:r>
      <w:r w:rsidR="00476C0A" w:rsidRPr="001D133B">
        <w:rPr>
          <w:rFonts w:asciiTheme="majorHAnsi" w:hAnsiTheme="majorHAnsi"/>
          <w:b/>
          <w:bCs/>
          <w:i/>
          <w:u w:val="single"/>
        </w:rPr>
        <w:t xml:space="preserve"> ai comitati</w:t>
      </w:r>
      <w:r w:rsidRPr="001D133B">
        <w:rPr>
          <w:rFonts w:asciiTheme="majorHAnsi" w:hAnsiTheme="majorHAnsi"/>
          <w:b/>
          <w:bCs/>
          <w:i/>
          <w:u w:val="single"/>
        </w:rPr>
        <w:t xml:space="preserve"> di sostenibilità</w:t>
      </w:r>
      <w:r w:rsidR="00D8148A" w:rsidRPr="001D133B">
        <w:rPr>
          <w:rFonts w:eastAsia="Times New Roman"/>
          <w:i/>
          <w:u w:val="single"/>
        </w:rPr>
        <w:t xml:space="preserve"> </w:t>
      </w:r>
    </w:p>
    <w:p w:rsidR="009D6652" w:rsidRDefault="009D6652" w:rsidP="00C83656">
      <w:pPr>
        <w:spacing w:after="12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Ormai</w:t>
      </w:r>
      <w:r w:rsidR="00D8148A" w:rsidRPr="00E94735">
        <w:rPr>
          <w:rFonts w:asciiTheme="majorHAnsi" w:hAnsiTheme="majorHAnsi"/>
        </w:rPr>
        <w:t xml:space="preserve"> </w:t>
      </w:r>
      <w:r w:rsidR="00E94735" w:rsidRPr="009A56F3">
        <w:rPr>
          <w:rFonts w:asciiTheme="majorHAnsi" w:hAnsiTheme="majorHAnsi"/>
          <w:b/>
        </w:rPr>
        <w:t>l’80% delle</w:t>
      </w:r>
      <w:r w:rsidR="00D8148A" w:rsidRPr="009A56F3">
        <w:rPr>
          <w:rFonts w:asciiTheme="majorHAnsi" w:hAnsiTheme="majorHAnsi"/>
          <w:b/>
        </w:rPr>
        <w:t xml:space="preserve"> aziende </w:t>
      </w:r>
      <w:r w:rsidR="00E94735" w:rsidRPr="009A56F3">
        <w:rPr>
          <w:rFonts w:asciiTheme="majorHAnsi" w:hAnsiTheme="majorHAnsi"/>
          <w:b/>
        </w:rPr>
        <w:t>ha</w:t>
      </w:r>
      <w:r w:rsidRPr="009A56F3">
        <w:rPr>
          <w:rFonts w:asciiTheme="majorHAnsi" w:hAnsiTheme="majorHAnsi"/>
          <w:b/>
        </w:rPr>
        <w:t xml:space="preserve"> costituito</w:t>
      </w:r>
      <w:r w:rsidR="00E94735" w:rsidRPr="009A56F3">
        <w:rPr>
          <w:rFonts w:asciiTheme="majorHAnsi" w:hAnsiTheme="majorHAnsi"/>
          <w:b/>
        </w:rPr>
        <w:t xml:space="preserve"> </w:t>
      </w:r>
      <w:r w:rsidR="00D8148A" w:rsidRPr="009A56F3">
        <w:rPr>
          <w:rFonts w:asciiTheme="majorHAnsi" w:hAnsiTheme="majorHAnsi"/>
          <w:b/>
        </w:rPr>
        <w:t xml:space="preserve">un comitato interno </w:t>
      </w:r>
      <w:r w:rsidR="00006100">
        <w:rPr>
          <w:rFonts w:asciiTheme="majorHAnsi" w:hAnsiTheme="majorHAnsi"/>
          <w:b/>
        </w:rPr>
        <w:t xml:space="preserve">al C.d.A. </w:t>
      </w:r>
      <w:r w:rsidR="00D8148A" w:rsidRPr="009A56F3">
        <w:rPr>
          <w:rFonts w:asciiTheme="majorHAnsi" w:hAnsiTheme="majorHAnsi"/>
          <w:b/>
        </w:rPr>
        <w:t>con deleghe alla sostenibilità</w:t>
      </w:r>
      <w:r w:rsidR="00E94735" w:rsidRPr="00E94735">
        <w:rPr>
          <w:rFonts w:asciiTheme="majorHAnsi" w:hAnsiTheme="majorHAnsi"/>
        </w:rPr>
        <w:t>:</w:t>
      </w:r>
      <w:r w:rsidR="00D948AF" w:rsidRPr="00E94735">
        <w:rPr>
          <w:rFonts w:asciiTheme="majorHAnsi" w:hAnsiTheme="majorHAnsi"/>
        </w:rPr>
        <w:t xml:space="preserve"> una </w:t>
      </w:r>
      <w:r w:rsidR="00E94735" w:rsidRPr="00E94735">
        <w:rPr>
          <w:rFonts w:asciiTheme="majorHAnsi" w:hAnsiTheme="majorHAnsi"/>
        </w:rPr>
        <w:t>straordinaria</w:t>
      </w:r>
      <w:r w:rsidR="00D948AF" w:rsidRPr="00E94735">
        <w:rPr>
          <w:rFonts w:asciiTheme="majorHAnsi" w:hAnsiTheme="majorHAnsi"/>
        </w:rPr>
        <w:t xml:space="preserve"> </w:t>
      </w:r>
      <w:r w:rsidR="00D948AF" w:rsidRPr="009A56F3">
        <w:rPr>
          <w:rFonts w:asciiTheme="majorHAnsi" w:hAnsiTheme="majorHAnsi"/>
          <w:b/>
        </w:rPr>
        <w:t xml:space="preserve">crescita rispetto </w:t>
      </w:r>
      <w:r w:rsidR="00E94735" w:rsidRPr="009A56F3">
        <w:rPr>
          <w:rFonts w:asciiTheme="majorHAnsi" w:hAnsiTheme="majorHAnsi"/>
          <w:b/>
        </w:rPr>
        <w:t>al</w:t>
      </w:r>
      <w:r w:rsidR="00E61DAF" w:rsidRPr="009A56F3">
        <w:rPr>
          <w:rFonts w:asciiTheme="majorHAnsi" w:hAnsiTheme="majorHAnsi"/>
          <w:b/>
        </w:rPr>
        <w:t xml:space="preserve"> Rapporto</w:t>
      </w:r>
      <w:r w:rsidR="00E94735" w:rsidRPr="009A56F3">
        <w:rPr>
          <w:rFonts w:asciiTheme="majorHAnsi" w:hAnsiTheme="majorHAnsi"/>
          <w:b/>
        </w:rPr>
        <w:t xml:space="preserve"> 2013</w:t>
      </w:r>
      <w:r w:rsidR="00E94735" w:rsidRPr="00E94735">
        <w:rPr>
          <w:rFonts w:asciiTheme="majorHAnsi" w:hAnsiTheme="majorHAnsi"/>
        </w:rPr>
        <w:t xml:space="preserve">, anno in cui solo il 25% lo aveva, ma anche rispetto al </w:t>
      </w:r>
      <w:r w:rsidR="00E61DAF">
        <w:rPr>
          <w:rFonts w:asciiTheme="majorHAnsi" w:hAnsiTheme="majorHAnsi"/>
        </w:rPr>
        <w:t>R</w:t>
      </w:r>
      <w:r w:rsidR="00E94735" w:rsidRPr="00E94735">
        <w:rPr>
          <w:rFonts w:asciiTheme="majorHAnsi" w:hAnsiTheme="majorHAnsi"/>
        </w:rPr>
        <w:t>apporto 2017</w:t>
      </w:r>
      <w:r w:rsidR="00E61DAF">
        <w:rPr>
          <w:rFonts w:asciiTheme="majorHAnsi" w:hAnsiTheme="majorHAnsi"/>
        </w:rPr>
        <w:t xml:space="preserve"> che registrava un dato pari al </w:t>
      </w:r>
      <w:r w:rsidR="00D948AF" w:rsidRPr="00E94735">
        <w:rPr>
          <w:rFonts w:asciiTheme="majorHAnsi" w:hAnsiTheme="majorHAnsi"/>
        </w:rPr>
        <w:t>70%</w:t>
      </w:r>
      <w:r w:rsidR="00E61DAF">
        <w:rPr>
          <w:rFonts w:asciiTheme="majorHAnsi" w:hAnsiTheme="majorHAnsi"/>
        </w:rPr>
        <w:t>.</w:t>
      </w:r>
      <w:r w:rsidR="00C83656">
        <w:rPr>
          <w:rFonts w:asciiTheme="majorHAnsi" w:hAnsiTheme="majorHAnsi"/>
        </w:rPr>
        <w:t xml:space="preserve"> </w:t>
      </w:r>
      <w:r w:rsidRPr="009D6652">
        <w:rPr>
          <w:rFonts w:asciiTheme="majorHAnsi" w:hAnsiTheme="majorHAnsi"/>
        </w:rPr>
        <w:t xml:space="preserve">Di queste, quasi 3 su 4 hanno costituito un comitato specializzato con più deleghe (es. “territorio e sostenibilità”, “controllo e rischi e sostenibilità”, “nomine e sostenibilità”), ma </w:t>
      </w:r>
      <w:r w:rsidRPr="00EC7B07">
        <w:rPr>
          <w:rFonts w:asciiTheme="majorHAnsi" w:hAnsiTheme="majorHAnsi"/>
          <w:b/>
        </w:rPr>
        <w:t xml:space="preserve">crescono </w:t>
      </w:r>
      <w:r w:rsidR="00544654" w:rsidRPr="006D2B6B">
        <w:rPr>
          <w:rFonts w:asciiTheme="majorHAnsi" w:hAnsiTheme="majorHAnsi"/>
          <w:b/>
        </w:rPr>
        <w:t>anche</w:t>
      </w:r>
      <w:r w:rsidR="00544654" w:rsidRPr="00544654">
        <w:rPr>
          <w:rFonts w:asciiTheme="majorHAnsi" w:hAnsiTheme="majorHAnsi"/>
          <w:b/>
          <w:color w:val="FF0000"/>
        </w:rPr>
        <w:t xml:space="preserve"> </w:t>
      </w:r>
      <w:r w:rsidR="00544654">
        <w:rPr>
          <w:rFonts w:asciiTheme="majorHAnsi" w:hAnsiTheme="majorHAnsi"/>
          <w:b/>
        </w:rPr>
        <w:t>l</w:t>
      </w:r>
      <w:r w:rsidRPr="00EC7B07">
        <w:rPr>
          <w:rFonts w:asciiTheme="majorHAnsi" w:hAnsiTheme="majorHAnsi"/>
          <w:b/>
        </w:rPr>
        <w:t>e aziende che decidono di costituire un comitato che si occupi solo di Sostenibilità (</w:t>
      </w:r>
      <w:r w:rsidR="00544654" w:rsidRPr="006D2B6B">
        <w:rPr>
          <w:rFonts w:asciiTheme="majorHAnsi" w:hAnsiTheme="majorHAnsi"/>
          <w:b/>
        </w:rPr>
        <w:t>15%</w:t>
      </w:r>
      <w:r w:rsidRPr="00EC7B07">
        <w:rPr>
          <w:rFonts w:asciiTheme="majorHAnsi" w:hAnsiTheme="majorHAnsi"/>
          <w:b/>
        </w:rPr>
        <w:t>)</w:t>
      </w:r>
      <w:r w:rsidRPr="006D2B6B">
        <w:rPr>
          <w:rFonts w:asciiTheme="majorHAnsi" w:hAnsiTheme="majorHAnsi"/>
          <w:b/>
        </w:rPr>
        <w:t>.</w:t>
      </w:r>
    </w:p>
    <w:p w:rsidR="00C83656" w:rsidRDefault="009D6652" w:rsidP="001D133B">
      <w:pPr>
        <w:pStyle w:val="Testo"/>
        <w:rPr>
          <w:rFonts w:asciiTheme="majorHAnsi" w:hAnsiTheme="majorHAnsi"/>
          <w:lang w:val="it-IT"/>
        </w:rPr>
      </w:pPr>
      <w:r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Occorre sottolineare l’importanza delle nuove </w:t>
      </w:r>
      <w:r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nor</w:t>
      </w:r>
      <w:r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mative come stimolo all’evoluzione della governance: un quarto dei comitati esistenti è stato costituito nel 2017, in concomitanza con l’entrata in vigore delle norme sull’obbligo di Dichiarazione Non Finanziaria</w:t>
      </w:r>
      <w:r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.</w:t>
      </w:r>
    </w:p>
    <w:p w:rsidR="00C83656" w:rsidRPr="00544654" w:rsidRDefault="00C83656" w:rsidP="001D133B">
      <w:pPr>
        <w:pStyle w:val="Testo"/>
        <w:rPr>
          <w:rFonts w:asciiTheme="majorHAnsi" w:hAnsiTheme="majorHAnsi"/>
          <w:lang w:val="it-IT"/>
        </w:rPr>
      </w:pPr>
    </w:p>
    <w:p w:rsidR="00D8148A" w:rsidRPr="001D133B" w:rsidRDefault="00D8148A" w:rsidP="00D8148A">
      <w:pPr>
        <w:spacing w:after="0" w:line="240" w:lineRule="auto"/>
        <w:rPr>
          <w:rFonts w:asciiTheme="majorHAnsi" w:hAnsiTheme="majorHAnsi"/>
          <w:b/>
          <w:bCs/>
          <w:i/>
          <w:u w:val="single"/>
        </w:rPr>
      </w:pPr>
      <w:r w:rsidRPr="001D133B">
        <w:rPr>
          <w:rFonts w:asciiTheme="majorHAnsi" w:hAnsiTheme="majorHAnsi"/>
          <w:b/>
          <w:bCs/>
          <w:i/>
          <w:u w:val="single"/>
        </w:rPr>
        <w:t xml:space="preserve">Il ruolo del CSR manager </w:t>
      </w:r>
    </w:p>
    <w:p w:rsidR="00781680" w:rsidRPr="00781680" w:rsidRDefault="009D6652" w:rsidP="009D6652">
      <w:pPr>
        <w:pStyle w:val="Testo"/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</w:pPr>
      <w:r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S</w:t>
      </w:r>
      <w:r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i conferma sempre più </w:t>
      </w:r>
      <w:r w:rsidRPr="00EC7B07">
        <w:rPr>
          <w:rFonts w:asciiTheme="majorHAnsi" w:eastAsiaTheme="minorHAnsi" w:hAnsiTheme="majorHAnsi" w:cstheme="minorBidi"/>
          <w:b/>
          <w:kern w:val="0"/>
          <w:sz w:val="22"/>
          <w:szCs w:val="22"/>
          <w:lang w:val="it-IT" w:eastAsia="en-US"/>
        </w:rPr>
        <w:t>strategico</w:t>
      </w:r>
      <w:r w:rsidR="00D8148A"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: </w:t>
      </w:r>
      <w:r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mai come </w:t>
      </w:r>
      <w:r w:rsidR="00D8148A"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oggi si </w:t>
      </w:r>
      <w:r w:rsidR="00EC7B07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è </w:t>
      </w:r>
      <w:r w:rsidR="00D8148A"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evidenzia</w:t>
      </w:r>
      <w:r w:rsidR="00EC7B07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ta</w:t>
      </w:r>
      <w:r w:rsidR="00D8148A"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 un</w:t>
      </w:r>
      <w:r w:rsidR="00781680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a tale</w:t>
      </w:r>
      <w:r w:rsidR="00D8148A"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 interazione dei manager dedicati alla sostenibilità con i vertici dell’organizzazione</w:t>
      </w:r>
      <w:r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,</w:t>
      </w:r>
      <w:r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 </w:t>
      </w:r>
      <w:r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sia</w:t>
      </w:r>
      <w:r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 con il Comitato</w:t>
      </w:r>
      <w:r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 che con l’Amministratore Delegato.</w:t>
      </w:r>
      <w:r w:rsidR="00781680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 I</w:t>
      </w:r>
      <w:r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l ruolo </w:t>
      </w:r>
      <w:r w:rsidR="00EC7B07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del CSR manager </w:t>
      </w:r>
      <w:r w:rsidRPr="009D6652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 xml:space="preserve">diventa </w:t>
      </w:r>
      <w:r w:rsidRPr="00EC7B07">
        <w:rPr>
          <w:rFonts w:asciiTheme="majorHAnsi" w:eastAsiaTheme="minorHAnsi" w:hAnsiTheme="majorHAnsi" w:cstheme="minorBidi"/>
          <w:b/>
          <w:kern w:val="0"/>
          <w:sz w:val="22"/>
          <w:szCs w:val="22"/>
          <w:lang w:val="it-IT" w:eastAsia="en-US"/>
        </w:rPr>
        <w:t>cruciale quando si affrontano i rischi e le procedure legate alla sostenibilità</w:t>
      </w:r>
      <w:r w:rsidR="00476C0A" w:rsidRPr="00EC7B07">
        <w:rPr>
          <w:rFonts w:asciiTheme="majorHAnsi" w:eastAsiaTheme="minorHAnsi" w:hAnsiTheme="majorHAnsi" w:cstheme="minorBidi"/>
          <w:b/>
          <w:kern w:val="0"/>
          <w:sz w:val="22"/>
          <w:szCs w:val="22"/>
          <w:lang w:val="it-IT" w:eastAsia="en-US"/>
        </w:rPr>
        <w:t>:</w:t>
      </w:r>
    </w:p>
    <w:p w:rsidR="009D6652" w:rsidRDefault="009D6652" w:rsidP="009D6652">
      <w:pPr>
        <w:pStyle w:val="Testo"/>
        <w:numPr>
          <w:ilvl w:val="0"/>
          <w:numId w:val="8"/>
        </w:numPr>
        <w:ind w:left="284" w:hanging="284"/>
        <w:rPr>
          <w:rFonts w:asciiTheme="majorHAnsi" w:hAnsiTheme="majorHAnsi"/>
          <w:sz w:val="22"/>
          <w:lang w:val="it-IT"/>
        </w:rPr>
      </w:pPr>
      <w:r w:rsidRPr="00EC7B07">
        <w:rPr>
          <w:rFonts w:asciiTheme="majorHAnsi" w:hAnsiTheme="majorHAnsi"/>
          <w:sz w:val="22"/>
          <w:lang w:val="it-IT"/>
        </w:rPr>
        <w:t xml:space="preserve">interagisce con il comitato preposto alla governance della sostenibilità </w:t>
      </w:r>
      <w:r w:rsidRPr="00EC7B07">
        <w:rPr>
          <w:rFonts w:asciiTheme="majorHAnsi" w:hAnsiTheme="majorHAnsi"/>
          <w:b/>
          <w:sz w:val="22"/>
          <w:lang w:val="it-IT"/>
        </w:rPr>
        <w:t>con maggiore frequenza</w:t>
      </w:r>
      <w:r w:rsidR="00476C0A" w:rsidRPr="00EC7B07">
        <w:rPr>
          <w:rFonts w:asciiTheme="majorHAnsi" w:hAnsiTheme="majorHAnsi"/>
          <w:sz w:val="22"/>
          <w:lang w:val="it-IT"/>
        </w:rPr>
        <w:t xml:space="preserve">, ossia </w:t>
      </w:r>
      <w:r w:rsidRPr="00EC7B07">
        <w:rPr>
          <w:rFonts w:asciiTheme="majorHAnsi" w:hAnsiTheme="majorHAnsi"/>
          <w:sz w:val="22"/>
          <w:lang w:val="it-IT"/>
        </w:rPr>
        <w:t>ogni 3-6 mesi</w:t>
      </w:r>
      <w:r w:rsidR="00476C0A" w:rsidRPr="00EC7B07">
        <w:rPr>
          <w:rFonts w:asciiTheme="majorHAnsi" w:hAnsiTheme="majorHAnsi"/>
          <w:sz w:val="22"/>
          <w:lang w:val="it-IT"/>
        </w:rPr>
        <w:t>,</w:t>
      </w:r>
      <w:r w:rsidRPr="00EC7B07">
        <w:rPr>
          <w:rFonts w:asciiTheme="majorHAnsi" w:hAnsiTheme="majorHAnsi"/>
          <w:sz w:val="22"/>
          <w:lang w:val="it-IT"/>
        </w:rPr>
        <w:t xml:space="preserve"> per la definizione degli indirizzi strategici (politiche, linee guida, piano strategico)</w:t>
      </w:r>
    </w:p>
    <w:p w:rsidR="007E0B68" w:rsidRDefault="007E0B68" w:rsidP="007E0B68">
      <w:pPr>
        <w:pStyle w:val="Testo"/>
        <w:ind w:left="284"/>
        <w:rPr>
          <w:rFonts w:asciiTheme="majorHAnsi" w:hAnsiTheme="majorHAnsi"/>
          <w:sz w:val="22"/>
          <w:lang w:val="it-IT"/>
        </w:rPr>
      </w:pPr>
    </w:p>
    <w:p w:rsidR="00781680" w:rsidRDefault="00781680" w:rsidP="00781680">
      <w:pPr>
        <w:pStyle w:val="Testo"/>
        <w:ind w:left="284"/>
        <w:rPr>
          <w:rFonts w:asciiTheme="majorHAnsi" w:hAnsiTheme="majorHAnsi"/>
          <w:sz w:val="22"/>
          <w:lang w:val="it-IT"/>
        </w:rPr>
      </w:pPr>
    </w:p>
    <w:p w:rsidR="007E0B68" w:rsidRPr="00EC7B07" w:rsidRDefault="007E0B68" w:rsidP="00781680">
      <w:pPr>
        <w:pStyle w:val="Testo"/>
        <w:ind w:left="284"/>
        <w:rPr>
          <w:rFonts w:asciiTheme="majorHAnsi" w:hAnsiTheme="majorHAnsi"/>
          <w:sz w:val="22"/>
          <w:lang w:val="it-IT"/>
        </w:rPr>
      </w:pPr>
    </w:p>
    <w:p w:rsidR="009D6652" w:rsidRPr="007E0B68" w:rsidRDefault="009D6652" w:rsidP="007E0B68">
      <w:pPr>
        <w:pStyle w:val="Testo"/>
        <w:numPr>
          <w:ilvl w:val="0"/>
          <w:numId w:val="8"/>
        </w:numPr>
        <w:ind w:left="284" w:hanging="284"/>
        <w:rPr>
          <w:rFonts w:asciiTheme="majorHAnsi" w:hAnsiTheme="majorHAnsi"/>
          <w:sz w:val="22"/>
          <w:lang w:val="it-IT"/>
        </w:rPr>
      </w:pPr>
      <w:r w:rsidRPr="007E0B68">
        <w:rPr>
          <w:rFonts w:asciiTheme="majorHAnsi" w:hAnsiTheme="majorHAnsi"/>
          <w:sz w:val="22"/>
          <w:lang w:val="it-IT"/>
        </w:rPr>
        <w:t xml:space="preserve">interagisce con l’intero C.d.A. per la </w:t>
      </w:r>
      <w:r w:rsidRPr="007E0B68">
        <w:rPr>
          <w:rFonts w:asciiTheme="majorHAnsi" w:hAnsiTheme="majorHAnsi"/>
          <w:b/>
          <w:sz w:val="22"/>
          <w:lang w:val="it-IT"/>
        </w:rPr>
        <w:t>valutazione dei rischi</w:t>
      </w:r>
      <w:r w:rsidRPr="007E0B68">
        <w:rPr>
          <w:rFonts w:asciiTheme="majorHAnsi" w:hAnsiTheme="majorHAnsi"/>
          <w:sz w:val="22"/>
          <w:lang w:val="it-IT"/>
        </w:rPr>
        <w:t xml:space="preserve"> sociali e ambientali</w:t>
      </w:r>
      <w:r w:rsidR="00476C0A" w:rsidRPr="007E0B68">
        <w:rPr>
          <w:rFonts w:asciiTheme="majorHAnsi" w:hAnsiTheme="majorHAnsi"/>
          <w:sz w:val="22"/>
          <w:lang w:val="it-IT"/>
        </w:rPr>
        <w:t xml:space="preserve"> </w:t>
      </w:r>
      <w:r w:rsidRPr="007E0B68">
        <w:rPr>
          <w:rFonts w:asciiTheme="majorHAnsi" w:hAnsiTheme="majorHAnsi"/>
          <w:sz w:val="22"/>
          <w:lang w:val="it-IT"/>
        </w:rPr>
        <w:t>ogni 6-12  mes</w:t>
      </w:r>
      <w:r w:rsidR="00476C0A" w:rsidRPr="007E0B68">
        <w:rPr>
          <w:rFonts w:asciiTheme="majorHAnsi" w:hAnsiTheme="majorHAnsi"/>
          <w:sz w:val="22"/>
          <w:lang w:val="it-IT"/>
        </w:rPr>
        <w:t>i</w:t>
      </w:r>
    </w:p>
    <w:p w:rsidR="009D6652" w:rsidRPr="00EC7B07" w:rsidRDefault="009D6652" w:rsidP="009D6652">
      <w:pPr>
        <w:pStyle w:val="Testo"/>
        <w:numPr>
          <w:ilvl w:val="0"/>
          <w:numId w:val="8"/>
        </w:numPr>
        <w:ind w:left="284" w:hanging="284"/>
        <w:rPr>
          <w:rFonts w:asciiTheme="majorHAnsi" w:hAnsiTheme="majorHAnsi"/>
          <w:sz w:val="22"/>
          <w:lang w:val="it-IT"/>
        </w:rPr>
      </w:pPr>
      <w:r w:rsidRPr="00EC7B07">
        <w:rPr>
          <w:rFonts w:asciiTheme="majorHAnsi" w:hAnsiTheme="majorHAnsi"/>
          <w:sz w:val="22"/>
          <w:lang w:val="it-IT"/>
        </w:rPr>
        <w:t>interagisce con</w:t>
      </w:r>
      <w:r w:rsidRPr="00EC7B07">
        <w:rPr>
          <w:rFonts w:asciiTheme="majorHAnsi" w:hAnsiTheme="majorHAnsi"/>
          <w:b/>
          <w:sz w:val="22"/>
          <w:lang w:val="it-IT"/>
        </w:rPr>
        <w:t xml:space="preserve"> l’AD </w:t>
      </w:r>
      <w:r w:rsidRPr="00EC7B07">
        <w:rPr>
          <w:rFonts w:asciiTheme="majorHAnsi" w:hAnsiTheme="majorHAnsi"/>
          <w:sz w:val="22"/>
          <w:lang w:val="it-IT"/>
        </w:rPr>
        <w:t>per discutere di procedure ogni 6 mesi</w:t>
      </w:r>
      <w:r w:rsidR="00476C0A" w:rsidRPr="00EC7B07">
        <w:rPr>
          <w:rFonts w:asciiTheme="majorHAnsi" w:hAnsiTheme="majorHAnsi"/>
          <w:sz w:val="22"/>
          <w:lang w:val="it-IT"/>
        </w:rPr>
        <w:t>.</w:t>
      </w:r>
    </w:p>
    <w:p w:rsidR="001D133B" w:rsidRDefault="001D133B" w:rsidP="00D8148A">
      <w:pPr>
        <w:spacing w:after="0" w:line="240" w:lineRule="auto"/>
        <w:rPr>
          <w:rFonts w:asciiTheme="majorHAnsi" w:hAnsiTheme="majorHAnsi"/>
          <w:b/>
          <w:bCs/>
          <w:i/>
        </w:rPr>
      </w:pPr>
    </w:p>
    <w:p w:rsidR="00D8148A" w:rsidRPr="001D133B" w:rsidRDefault="00476C0A" w:rsidP="00D8148A">
      <w:pPr>
        <w:spacing w:after="0" w:line="240" w:lineRule="auto"/>
        <w:rPr>
          <w:rFonts w:asciiTheme="majorHAnsi" w:hAnsiTheme="majorHAnsi"/>
          <w:b/>
          <w:bCs/>
          <w:i/>
          <w:u w:val="single"/>
        </w:rPr>
      </w:pPr>
      <w:r w:rsidRPr="001D133B">
        <w:rPr>
          <w:rFonts w:asciiTheme="majorHAnsi" w:hAnsiTheme="majorHAnsi"/>
          <w:b/>
          <w:bCs/>
          <w:i/>
          <w:u w:val="single"/>
        </w:rPr>
        <w:t>Sviluppo de</w:t>
      </w:r>
      <w:r w:rsidR="00D8148A" w:rsidRPr="001D133B">
        <w:rPr>
          <w:rFonts w:asciiTheme="majorHAnsi" w:hAnsiTheme="majorHAnsi"/>
          <w:b/>
          <w:bCs/>
          <w:i/>
          <w:u w:val="single"/>
        </w:rPr>
        <w:t>gli incentivi connessi alla sostenibilità</w:t>
      </w:r>
    </w:p>
    <w:p w:rsidR="00476C0A" w:rsidRPr="00476C0A" w:rsidRDefault="00476C0A" w:rsidP="00476C0A">
      <w:pPr>
        <w:pStyle w:val="Testo"/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</w:pPr>
      <w:r w:rsidRPr="00476C0A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L’indagine ha messo in evidenza una crescita nella diffusione dei sistemi di incentivazione legati alla sostenibilità, per cui si può affermare che gli</w:t>
      </w:r>
      <w:r w:rsidRPr="00EC7B07">
        <w:rPr>
          <w:rFonts w:asciiTheme="majorHAnsi" w:eastAsiaTheme="minorHAnsi" w:hAnsiTheme="majorHAnsi" w:cstheme="minorBidi"/>
          <w:b/>
          <w:kern w:val="0"/>
          <w:sz w:val="22"/>
          <w:szCs w:val="22"/>
          <w:lang w:val="it-IT" w:eastAsia="en-US"/>
        </w:rPr>
        <w:t xml:space="preserve"> aspetti sociali e ambientali sono a oggi sempre più identificati come determinanti del successo delle aziende</w:t>
      </w:r>
      <w:r w:rsidRPr="00476C0A">
        <w:rPr>
          <w:rFonts w:asciiTheme="majorHAnsi" w:eastAsiaTheme="minorHAnsi" w:hAnsiTheme="majorHAnsi" w:cstheme="minorBidi"/>
          <w:kern w:val="0"/>
          <w:sz w:val="22"/>
          <w:szCs w:val="22"/>
          <w:lang w:val="it-IT" w:eastAsia="en-US"/>
        </w:rPr>
        <w:t>:</w:t>
      </w:r>
    </w:p>
    <w:p w:rsidR="00476C0A" w:rsidRPr="00476C0A" w:rsidRDefault="00476C0A" w:rsidP="00476C0A">
      <w:pPr>
        <w:pStyle w:val="Testo"/>
        <w:numPr>
          <w:ilvl w:val="0"/>
          <w:numId w:val="8"/>
        </w:numPr>
        <w:ind w:left="284" w:hanging="284"/>
        <w:rPr>
          <w:rFonts w:asciiTheme="majorHAnsi" w:hAnsiTheme="majorHAnsi"/>
          <w:sz w:val="22"/>
          <w:lang w:val="it-IT"/>
        </w:rPr>
      </w:pPr>
      <w:r w:rsidRPr="00476C0A">
        <w:rPr>
          <w:rFonts w:asciiTheme="majorHAnsi" w:hAnsiTheme="majorHAnsi"/>
          <w:sz w:val="22"/>
          <w:lang w:val="it-IT"/>
        </w:rPr>
        <w:t>Il 40% delle aziende FTSE-MIB ha legato parte del compenso variabile dei membri del C.d.A. alle performance socio-ambientali (16/40); in lieve crescita rispetto al rapporto 2017</w:t>
      </w:r>
    </w:p>
    <w:p w:rsidR="00476C0A" w:rsidRPr="00476C0A" w:rsidRDefault="00476C0A" w:rsidP="00476C0A">
      <w:pPr>
        <w:pStyle w:val="Testo"/>
        <w:numPr>
          <w:ilvl w:val="0"/>
          <w:numId w:val="8"/>
        </w:numPr>
        <w:ind w:left="284" w:hanging="284"/>
        <w:rPr>
          <w:rFonts w:asciiTheme="majorHAnsi" w:hAnsiTheme="majorHAnsi"/>
          <w:sz w:val="22"/>
          <w:lang w:val="it-IT"/>
        </w:rPr>
      </w:pPr>
      <w:r w:rsidRPr="00476C0A">
        <w:rPr>
          <w:rFonts w:asciiTheme="majorHAnsi" w:hAnsiTheme="majorHAnsi"/>
          <w:sz w:val="22"/>
          <w:lang w:val="it-IT"/>
        </w:rPr>
        <w:t>in media la componente della retribuzione variabile legata alle performance socio-ambientali si attesta intorno al 16%, e intorno al 12% per l’A.D., incluso quando cumula la carica di DG</w:t>
      </w:r>
      <w:r w:rsidR="00EC7B07">
        <w:rPr>
          <w:rFonts w:asciiTheme="majorHAnsi" w:hAnsiTheme="majorHAnsi"/>
          <w:sz w:val="22"/>
          <w:lang w:val="it-IT"/>
        </w:rPr>
        <w:t xml:space="preserve">, </w:t>
      </w:r>
      <w:r w:rsidRPr="00476C0A">
        <w:rPr>
          <w:rFonts w:asciiTheme="majorHAnsi" w:hAnsiTheme="majorHAnsi"/>
          <w:sz w:val="22"/>
          <w:lang w:val="it-IT"/>
        </w:rPr>
        <w:t>con un panorama variegato in cui si registrano estremi che vanno dall’1% al 25% (Cfr. Figura 3);</w:t>
      </w:r>
    </w:p>
    <w:p w:rsidR="009A56F3" w:rsidRPr="001D133B" w:rsidRDefault="00C904AC" w:rsidP="00EC7B07">
      <w:pPr>
        <w:pStyle w:val="NormaleWeb"/>
        <w:shd w:val="clear" w:color="auto" w:fill="FFFFFF"/>
        <w:spacing w:after="0"/>
        <w:jc w:val="both"/>
        <w:rPr>
          <w:rFonts w:asciiTheme="majorHAnsi" w:eastAsiaTheme="minorHAnsi" w:hAnsiTheme="majorHAnsi" w:cstheme="minorBidi"/>
          <w:b/>
          <w:bCs/>
          <w:i/>
          <w:sz w:val="22"/>
          <w:szCs w:val="22"/>
          <w:u w:val="single"/>
          <w:lang w:eastAsia="en-US"/>
        </w:rPr>
      </w:pPr>
      <w:r w:rsidRPr="001D133B">
        <w:rPr>
          <w:rFonts w:asciiTheme="majorHAnsi" w:eastAsiaTheme="minorHAnsi" w:hAnsiTheme="majorHAnsi" w:cstheme="minorBidi"/>
          <w:b/>
          <w:bCs/>
          <w:i/>
          <w:sz w:val="22"/>
          <w:szCs w:val="22"/>
          <w:u w:val="single"/>
          <w:lang w:eastAsia="en-US"/>
        </w:rPr>
        <w:t xml:space="preserve">Una buona corporate governance della sostenibilità favorisce maggiore trasparenza nelle </w:t>
      </w:r>
      <w:r w:rsidR="009A56F3" w:rsidRPr="001D133B">
        <w:rPr>
          <w:rFonts w:asciiTheme="majorHAnsi" w:eastAsiaTheme="minorHAnsi" w:hAnsiTheme="majorHAnsi" w:cstheme="minorBidi"/>
          <w:b/>
          <w:bCs/>
          <w:i/>
          <w:sz w:val="22"/>
          <w:szCs w:val="22"/>
          <w:u w:val="single"/>
          <w:lang w:eastAsia="en-US"/>
        </w:rPr>
        <w:t>D</w:t>
      </w:r>
      <w:r w:rsidRPr="001D133B">
        <w:rPr>
          <w:rFonts w:asciiTheme="majorHAnsi" w:eastAsiaTheme="minorHAnsi" w:hAnsiTheme="majorHAnsi" w:cstheme="minorBidi"/>
          <w:b/>
          <w:bCs/>
          <w:i/>
          <w:sz w:val="22"/>
          <w:szCs w:val="22"/>
          <w:u w:val="single"/>
          <w:lang w:eastAsia="en-US"/>
        </w:rPr>
        <w:t xml:space="preserve">ichiarazioni </w:t>
      </w:r>
      <w:r w:rsidR="009A56F3" w:rsidRPr="001D133B">
        <w:rPr>
          <w:rFonts w:asciiTheme="majorHAnsi" w:eastAsiaTheme="minorHAnsi" w:hAnsiTheme="majorHAnsi" w:cstheme="minorBidi"/>
          <w:b/>
          <w:bCs/>
          <w:i/>
          <w:sz w:val="22"/>
          <w:szCs w:val="22"/>
          <w:u w:val="single"/>
          <w:lang w:eastAsia="en-US"/>
        </w:rPr>
        <w:t>N</w:t>
      </w:r>
      <w:r w:rsidRPr="001D133B">
        <w:rPr>
          <w:rFonts w:asciiTheme="majorHAnsi" w:eastAsiaTheme="minorHAnsi" w:hAnsiTheme="majorHAnsi" w:cstheme="minorBidi"/>
          <w:b/>
          <w:bCs/>
          <w:i/>
          <w:sz w:val="22"/>
          <w:szCs w:val="22"/>
          <w:u w:val="single"/>
          <w:lang w:eastAsia="en-US"/>
        </w:rPr>
        <w:t xml:space="preserve">on </w:t>
      </w:r>
      <w:r w:rsidR="009A56F3" w:rsidRPr="001D133B">
        <w:rPr>
          <w:rFonts w:asciiTheme="majorHAnsi" w:eastAsiaTheme="minorHAnsi" w:hAnsiTheme="majorHAnsi" w:cstheme="minorBidi"/>
          <w:b/>
          <w:bCs/>
          <w:i/>
          <w:sz w:val="22"/>
          <w:szCs w:val="22"/>
          <w:u w:val="single"/>
          <w:lang w:eastAsia="en-US"/>
        </w:rPr>
        <w:t>F</w:t>
      </w:r>
      <w:r w:rsidRPr="001D133B">
        <w:rPr>
          <w:rFonts w:asciiTheme="majorHAnsi" w:eastAsiaTheme="minorHAnsi" w:hAnsiTheme="majorHAnsi" w:cstheme="minorBidi"/>
          <w:b/>
          <w:bCs/>
          <w:i/>
          <w:sz w:val="22"/>
          <w:szCs w:val="22"/>
          <w:u w:val="single"/>
          <w:lang w:eastAsia="en-US"/>
        </w:rPr>
        <w:t>inanziarie</w:t>
      </w:r>
    </w:p>
    <w:p w:rsidR="00C904AC" w:rsidRDefault="009A56F3" w:rsidP="009A56F3">
      <w:pPr>
        <w:pStyle w:val="Testo"/>
        <w:rPr>
          <w:rFonts w:asciiTheme="majorHAnsi" w:hAnsiTheme="majorHAnsi"/>
          <w:sz w:val="22"/>
          <w:lang w:val="it-IT"/>
        </w:rPr>
      </w:pPr>
      <w:r w:rsidRPr="009A56F3">
        <w:rPr>
          <w:rFonts w:asciiTheme="majorHAnsi" w:hAnsiTheme="majorHAnsi"/>
          <w:sz w:val="22"/>
          <w:lang w:val="it-IT"/>
        </w:rPr>
        <w:t>38 su 40 delle aziende analizzate (95%) sono state soggette ad obbligo di pubblicazione della DNF</w:t>
      </w:r>
      <w:r w:rsidR="00EC7B07">
        <w:rPr>
          <w:rFonts w:asciiTheme="majorHAnsi" w:hAnsiTheme="majorHAnsi"/>
          <w:sz w:val="22"/>
          <w:lang w:val="it-IT"/>
        </w:rPr>
        <w:t xml:space="preserve">: </w:t>
      </w:r>
      <w:r w:rsidRPr="009A56F3">
        <w:rPr>
          <w:rFonts w:asciiTheme="majorHAnsi" w:hAnsiTheme="majorHAnsi"/>
          <w:sz w:val="22"/>
          <w:lang w:val="it-IT"/>
        </w:rPr>
        <w:t>è emersa una stretta relazione tra la presenza di comitati dedicati alla sostenibilità e le scelte effettuate in merito alla pubblicazione della DNF</w:t>
      </w:r>
      <w:r w:rsidR="00EC7B07">
        <w:rPr>
          <w:rFonts w:asciiTheme="majorHAnsi" w:hAnsiTheme="majorHAnsi"/>
          <w:sz w:val="22"/>
          <w:lang w:val="it-IT"/>
        </w:rPr>
        <w:t xml:space="preserve">. </w:t>
      </w:r>
      <w:r w:rsidR="00953A64" w:rsidRPr="00C83656">
        <w:rPr>
          <w:rFonts w:asciiTheme="majorHAnsi" w:hAnsiTheme="majorHAnsi"/>
          <w:sz w:val="22"/>
          <w:lang w:val="it-IT"/>
        </w:rPr>
        <w:t>I</w:t>
      </w:r>
      <w:r w:rsidR="00C904AC" w:rsidRPr="00C83656">
        <w:rPr>
          <w:rFonts w:asciiTheme="majorHAnsi" w:hAnsiTheme="majorHAnsi"/>
          <w:sz w:val="22"/>
          <w:lang w:val="it-IT"/>
        </w:rPr>
        <w:t xml:space="preserve">n presenza di un comitato del C.d.A. dedicato alla </w:t>
      </w:r>
      <w:r w:rsidR="00953A64" w:rsidRPr="00C83656">
        <w:rPr>
          <w:rFonts w:asciiTheme="majorHAnsi" w:hAnsiTheme="majorHAnsi"/>
          <w:sz w:val="22"/>
          <w:lang w:val="it-IT"/>
        </w:rPr>
        <w:t xml:space="preserve">sola </w:t>
      </w:r>
      <w:r w:rsidR="00C904AC" w:rsidRPr="00C83656">
        <w:rPr>
          <w:rFonts w:asciiTheme="majorHAnsi" w:hAnsiTheme="majorHAnsi"/>
          <w:sz w:val="22"/>
          <w:lang w:val="it-IT"/>
        </w:rPr>
        <w:t xml:space="preserve">sostenibilità </w:t>
      </w:r>
      <w:r w:rsidR="00953A64" w:rsidRPr="00C83656">
        <w:rPr>
          <w:rFonts w:asciiTheme="majorHAnsi" w:hAnsiTheme="majorHAnsi"/>
          <w:sz w:val="22"/>
          <w:lang w:val="it-IT"/>
        </w:rPr>
        <w:t>le</w:t>
      </w:r>
      <w:r w:rsidR="00C904AC" w:rsidRPr="00C83656">
        <w:rPr>
          <w:rFonts w:asciiTheme="majorHAnsi" w:hAnsiTheme="majorHAnsi"/>
          <w:sz w:val="22"/>
          <w:lang w:val="it-IT"/>
        </w:rPr>
        <w:t xml:space="preserve"> DNF </w:t>
      </w:r>
      <w:r w:rsidR="00953A64" w:rsidRPr="00C83656">
        <w:rPr>
          <w:rFonts w:asciiTheme="majorHAnsi" w:hAnsiTheme="majorHAnsi"/>
          <w:sz w:val="22"/>
          <w:lang w:val="it-IT"/>
        </w:rPr>
        <w:t>sono più dettagliate</w:t>
      </w:r>
      <w:r w:rsidR="00C904AC" w:rsidRPr="00C83656">
        <w:rPr>
          <w:rFonts w:asciiTheme="majorHAnsi" w:hAnsiTheme="majorHAnsi"/>
          <w:sz w:val="22"/>
          <w:lang w:val="it-IT"/>
        </w:rPr>
        <w:t xml:space="preserve"> (</w:t>
      </w:r>
      <w:r w:rsidR="00953A64" w:rsidRPr="00C83656">
        <w:rPr>
          <w:rFonts w:asciiTheme="majorHAnsi" w:hAnsiTheme="majorHAnsi"/>
          <w:sz w:val="22"/>
          <w:lang w:val="it-IT"/>
        </w:rPr>
        <w:t xml:space="preserve">nella maggior parte dei casi superano le </w:t>
      </w:r>
      <w:r w:rsidR="00C904AC" w:rsidRPr="00C83656">
        <w:rPr>
          <w:rFonts w:asciiTheme="majorHAnsi" w:hAnsiTheme="majorHAnsi"/>
          <w:sz w:val="22"/>
          <w:lang w:val="it-IT"/>
        </w:rPr>
        <w:t>150</w:t>
      </w:r>
      <w:r w:rsidR="00953A64" w:rsidRPr="00C83656">
        <w:rPr>
          <w:rFonts w:asciiTheme="majorHAnsi" w:hAnsiTheme="majorHAnsi"/>
          <w:sz w:val="22"/>
          <w:lang w:val="it-IT"/>
        </w:rPr>
        <w:t xml:space="preserve"> pagine e utilizzano più della m</w:t>
      </w:r>
      <w:r w:rsidR="00C904AC" w:rsidRPr="00C83656">
        <w:rPr>
          <w:rFonts w:asciiTheme="majorHAnsi" w:hAnsiTheme="majorHAnsi"/>
          <w:sz w:val="22"/>
          <w:lang w:val="it-IT"/>
        </w:rPr>
        <w:t xml:space="preserve"> metà degli indicatori GRI)</w:t>
      </w:r>
      <w:r w:rsidR="00EC7B07" w:rsidRPr="00C83656">
        <w:rPr>
          <w:rFonts w:asciiTheme="majorHAnsi" w:hAnsiTheme="majorHAnsi"/>
          <w:sz w:val="22"/>
          <w:lang w:val="it-IT"/>
        </w:rPr>
        <w:t>.</w:t>
      </w:r>
      <w:r w:rsidR="00C83656">
        <w:rPr>
          <w:rFonts w:asciiTheme="majorHAnsi" w:hAnsiTheme="majorHAnsi"/>
          <w:sz w:val="22"/>
          <w:lang w:val="it-IT"/>
        </w:rPr>
        <w:t xml:space="preserve"> </w:t>
      </w:r>
      <w:r w:rsidR="00EC7B07">
        <w:rPr>
          <w:rFonts w:asciiTheme="majorHAnsi" w:hAnsiTheme="majorHAnsi"/>
          <w:sz w:val="22"/>
          <w:lang w:val="it-IT"/>
        </w:rPr>
        <w:t>Infine</w:t>
      </w:r>
      <w:r w:rsidRPr="009A56F3">
        <w:rPr>
          <w:rFonts w:asciiTheme="majorHAnsi" w:hAnsiTheme="majorHAnsi"/>
          <w:sz w:val="22"/>
          <w:lang w:val="it-IT"/>
        </w:rPr>
        <w:t>, l</w:t>
      </w:r>
      <w:r w:rsidR="00C904AC" w:rsidRPr="009A56F3">
        <w:rPr>
          <w:rFonts w:asciiTheme="majorHAnsi" w:hAnsiTheme="majorHAnsi"/>
          <w:sz w:val="22"/>
          <w:lang w:val="it-IT"/>
        </w:rPr>
        <w:t xml:space="preserve">a presenza </w:t>
      </w:r>
      <w:r w:rsidR="00953A64">
        <w:rPr>
          <w:rFonts w:asciiTheme="majorHAnsi" w:hAnsiTheme="majorHAnsi"/>
          <w:sz w:val="22"/>
          <w:lang w:val="it-IT"/>
        </w:rPr>
        <w:t xml:space="preserve">combinata di comitati e sistemi di incentivazione </w:t>
      </w:r>
      <w:r w:rsidR="00C904AC" w:rsidRPr="009A56F3">
        <w:rPr>
          <w:rFonts w:asciiTheme="majorHAnsi" w:hAnsiTheme="majorHAnsi"/>
          <w:sz w:val="22"/>
          <w:lang w:val="it-IT"/>
        </w:rPr>
        <w:t>legat</w:t>
      </w:r>
      <w:r w:rsidR="00953A64">
        <w:rPr>
          <w:rFonts w:asciiTheme="majorHAnsi" w:hAnsiTheme="majorHAnsi"/>
          <w:sz w:val="22"/>
          <w:lang w:val="it-IT"/>
        </w:rPr>
        <w:t>i</w:t>
      </w:r>
      <w:r w:rsidR="00C904AC" w:rsidRPr="009A56F3">
        <w:rPr>
          <w:rFonts w:asciiTheme="majorHAnsi" w:hAnsiTheme="majorHAnsi"/>
          <w:sz w:val="22"/>
          <w:lang w:val="it-IT"/>
        </w:rPr>
        <w:t xml:space="preserve"> alla sostenibilità, è associata a una DNF con informazioni più complete (33% indicatori GRI vs 24%).</w:t>
      </w:r>
    </w:p>
    <w:p w:rsidR="00837738" w:rsidRDefault="00837738" w:rsidP="009A56F3">
      <w:pPr>
        <w:pStyle w:val="Testo"/>
        <w:rPr>
          <w:rFonts w:asciiTheme="majorHAnsi" w:hAnsiTheme="majorHAnsi"/>
          <w:sz w:val="22"/>
          <w:lang w:val="it-IT"/>
        </w:rPr>
      </w:pPr>
    </w:p>
    <w:p w:rsidR="007557D5" w:rsidRPr="007557D5" w:rsidRDefault="007557D5" w:rsidP="00837738">
      <w:pPr>
        <w:pStyle w:val="Testo"/>
        <w:rPr>
          <w:rFonts w:asciiTheme="majorHAnsi" w:hAnsiTheme="majorHAnsi" w:cstheme="majorHAnsi"/>
          <w:sz w:val="22"/>
          <w:szCs w:val="22"/>
          <w:lang w:val="it-IT"/>
        </w:rPr>
      </w:pPr>
      <w:r w:rsidRPr="007557D5">
        <w:rPr>
          <w:rFonts w:asciiTheme="majorHAnsi" w:hAnsiTheme="majorHAnsi" w:cstheme="majorHAnsi"/>
          <w:sz w:val="22"/>
          <w:szCs w:val="22"/>
          <w:lang w:val="it-IT"/>
        </w:rPr>
        <w:t>Il</w:t>
      </w:r>
      <w:r w:rsidR="00837738" w:rsidRPr="007557D5">
        <w:rPr>
          <w:rFonts w:asciiTheme="majorHAnsi" w:hAnsiTheme="majorHAnsi" w:cstheme="majorHAnsi"/>
          <w:sz w:val="22"/>
          <w:szCs w:val="22"/>
          <w:lang w:val="it-IT"/>
        </w:rPr>
        <w:t xml:space="preserve"> CSR Manager Network  ha recentemente lanciato </w:t>
      </w:r>
      <w:r w:rsidRPr="007557D5">
        <w:rPr>
          <w:rFonts w:asciiTheme="majorHAnsi" w:hAnsiTheme="majorHAnsi" w:cstheme="majorHAnsi"/>
          <w:sz w:val="22"/>
          <w:szCs w:val="22"/>
          <w:lang w:val="it-IT"/>
        </w:rPr>
        <w:t xml:space="preserve">con l’Università di Siena l’ </w:t>
      </w:r>
      <w:r w:rsidRPr="007557D5">
        <w:rPr>
          <w:rFonts w:asciiTheme="majorHAnsi" w:hAnsiTheme="majorHAnsi" w:cstheme="majorHAnsi"/>
          <w:b/>
          <w:sz w:val="22"/>
          <w:szCs w:val="22"/>
          <w:lang w:val="it-IT"/>
        </w:rPr>
        <w:t>“Osservatorio DNF - Osservatorio delle Dichiarazioni Non Finanziarie (DNF) e delle Pratiche Sostenibili”</w:t>
      </w:r>
      <w:r w:rsidRPr="007557D5">
        <w:rPr>
          <w:rFonts w:asciiTheme="majorHAnsi" w:hAnsiTheme="majorHAnsi" w:cstheme="majorHAnsi"/>
          <w:sz w:val="22"/>
          <w:szCs w:val="22"/>
          <w:lang w:val="it-IT"/>
        </w:rPr>
        <w:t xml:space="preserve">, </w:t>
      </w:r>
      <w:r w:rsidR="00837738" w:rsidRPr="007557D5">
        <w:rPr>
          <w:rFonts w:asciiTheme="majorHAnsi" w:hAnsiTheme="majorHAnsi" w:cstheme="majorHAnsi"/>
          <w:sz w:val="22"/>
          <w:szCs w:val="22"/>
          <w:lang w:val="it-IT"/>
        </w:rPr>
        <w:t xml:space="preserve">la prima e unica piattaforma online </w:t>
      </w:r>
      <w:hyperlink r:id="rId10" w:history="1">
        <w:r w:rsidRPr="000F3CEC">
          <w:rPr>
            <w:rStyle w:val="Collegamentoipertestuale"/>
            <w:rFonts w:asciiTheme="majorHAnsi" w:hAnsiTheme="majorHAnsi" w:cstheme="majorHAnsi"/>
            <w:sz w:val="22"/>
            <w:szCs w:val="22"/>
            <w:lang w:val="it-IT"/>
          </w:rPr>
          <w:t>https://www.osservatoriodnf.it</w:t>
        </w:r>
      </w:hyperlink>
      <w:r>
        <w:rPr>
          <w:rFonts w:asciiTheme="majorHAnsi" w:hAnsiTheme="majorHAnsi" w:cstheme="majorHAnsi"/>
          <w:sz w:val="22"/>
          <w:szCs w:val="22"/>
          <w:lang w:val="it-IT"/>
        </w:rPr>
        <w:t xml:space="preserve"> </w:t>
      </w:r>
      <w:r w:rsidR="00837738" w:rsidRPr="007557D5">
        <w:rPr>
          <w:rFonts w:asciiTheme="majorHAnsi" w:hAnsiTheme="majorHAnsi" w:cstheme="majorHAnsi"/>
          <w:sz w:val="22"/>
          <w:szCs w:val="22"/>
          <w:lang w:val="it-IT"/>
        </w:rPr>
        <w:t xml:space="preserve">che </w:t>
      </w:r>
      <w:r w:rsidRPr="00544654">
        <w:rPr>
          <w:rFonts w:asciiTheme="majorHAnsi" w:hAnsiTheme="majorHAnsi" w:cstheme="majorHAnsi"/>
          <w:sz w:val="22"/>
          <w:szCs w:val="22"/>
          <w:lang w:val="it-IT"/>
        </w:rPr>
        <w:t xml:space="preserve">attraverso una dashboard in continuo aggiornamento rende accessibili a tutti il </w:t>
      </w:r>
      <w:r w:rsidRPr="00544654">
        <w:rPr>
          <w:rFonts w:asciiTheme="majorHAnsi" w:hAnsiTheme="majorHAnsi" w:cstheme="majorHAnsi"/>
          <w:b/>
          <w:sz w:val="22"/>
          <w:szCs w:val="22"/>
          <w:lang w:val="it-IT"/>
        </w:rPr>
        <w:t xml:space="preserve">database delle oltre 200 Dichiarazioni Non Finanziare </w:t>
      </w:r>
      <w:r w:rsidRPr="00544654">
        <w:rPr>
          <w:rFonts w:asciiTheme="majorHAnsi" w:hAnsiTheme="majorHAnsi" w:cstheme="majorHAnsi"/>
          <w:sz w:val="22"/>
          <w:szCs w:val="22"/>
          <w:lang w:val="it-IT"/>
        </w:rPr>
        <w:t xml:space="preserve">raccolte e </w:t>
      </w:r>
      <w:r w:rsidRPr="00544654">
        <w:rPr>
          <w:rFonts w:asciiTheme="majorHAnsi" w:hAnsiTheme="majorHAnsi" w:cstheme="majorHAnsi"/>
          <w:b/>
          <w:sz w:val="22"/>
          <w:szCs w:val="22"/>
          <w:lang w:val="it-IT"/>
        </w:rPr>
        <w:t>alcune analisi preliminari presentate in forma infografica.</w:t>
      </w:r>
    </w:p>
    <w:p w:rsidR="00AC3404" w:rsidRDefault="007557D5" w:rsidP="007E0B68">
      <w:pPr>
        <w:spacing w:after="120" w:line="240" w:lineRule="auto"/>
        <w:jc w:val="both"/>
        <w:rPr>
          <w:rFonts w:asciiTheme="majorHAnsi" w:hAnsiTheme="majorHAnsi" w:cstheme="majorHAnsi"/>
          <w:b/>
        </w:rPr>
      </w:pPr>
      <w:r w:rsidRPr="007557D5">
        <w:rPr>
          <w:rFonts w:asciiTheme="majorHAnsi" w:hAnsiTheme="majorHAnsi" w:cstheme="majorHAnsi"/>
          <w:i/>
        </w:rPr>
        <w:t>“Gli obblighi di legge sulla Dichiarazione Non Finanziaria hanno ampliato la platea delle imprese che mettono a disposizione dati su aspetti ambientali e sociali</w:t>
      </w:r>
      <w:r>
        <w:rPr>
          <w:rFonts w:asciiTheme="majorHAnsi" w:hAnsiTheme="majorHAnsi" w:cstheme="majorHAnsi"/>
          <w:i/>
        </w:rPr>
        <w:t>: c</w:t>
      </w:r>
      <w:r w:rsidRPr="007557D5">
        <w:rPr>
          <w:rFonts w:asciiTheme="majorHAnsi" w:hAnsiTheme="majorHAnsi" w:cstheme="majorHAnsi"/>
          <w:i/>
        </w:rPr>
        <w:t xml:space="preserve">on questa piattaforma puntiamo ad aumentarne la conoscenza e l’utilizzo da parte degli stakeholder e da parte delle stesse imprese, che potranno elaborare i propri benchmark.” </w:t>
      </w:r>
      <w:r w:rsidRPr="007557D5">
        <w:rPr>
          <w:rFonts w:asciiTheme="majorHAnsi" w:hAnsiTheme="majorHAnsi" w:cstheme="majorHAnsi"/>
        </w:rPr>
        <w:t xml:space="preserve">– </w:t>
      </w:r>
      <w:r w:rsidR="00C83656">
        <w:rPr>
          <w:rFonts w:asciiTheme="majorHAnsi" w:hAnsiTheme="majorHAnsi" w:cstheme="majorHAnsi"/>
        </w:rPr>
        <w:t>conclude</w:t>
      </w:r>
      <w:r w:rsidRPr="007557D5">
        <w:rPr>
          <w:rFonts w:asciiTheme="majorHAnsi" w:hAnsiTheme="majorHAnsi" w:cstheme="majorHAnsi"/>
        </w:rPr>
        <w:t xml:space="preserve"> </w:t>
      </w:r>
      <w:r w:rsidRPr="007557D5">
        <w:rPr>
          <w:rFonts w:asciiTheme="majorHAnsi" w:hAnsiTheme="majorHAnsi" w:cstheme="majorHAnsi"/>
          <w:b/>
        </w:rPr>
        <w:t>Fulvio Rossi</w:t>
      </w:r>
      <w:r w:rsidR="00C83656">
        <w:rPr>
          <w:rFonts w:asciiTheme="majorHAnsi" w:hAnsiTheme="majorHAnsi" w:cstheme="majorHAnsi"/>
          <w:b/>
        </w:rPr>
        <w:t>.</w:t>
      </w:r>
    </w:p>
    <w:p w:rsidR="007E0B68" w:rsidRDefault="007E0B68" w:rsidP="007E0B68">
      <w:pPr>
        <w:spacing w:after="120" w:line="240" w:lineRule="auto"/>
        <w:jc w:val="both"/>
        <w:rPr>
          <w:rFonts w:eastAsia="Calibri" w:cstheme="minorHAnsi"/>
          <w:b/>
          <w:bCs/>
          <w:i/>
          <w:iCs/>
          <w:sz w:val="20"/>
          <w:szCs w:val="20"/>
        </w:rPr>
      </w:pPr>
    </w:p>
    <w:p w:rsidR="00F22446" w:rsidRDefault="003B1BBE" w:rsidP="007E0B68">
      <w:pPr>
        <w:spacing w:after="0" w:line="240" w:lineRule="auto"/>
        <w:jc w:val="both"/>
        <w:rPr>
          <w:rFonts w:cstheme="minorHAnsi"/>
          <w:b/>
          <w:bCs/>
          <w:i/>
          <w:sz w:val="18"/>
          <w:szCs w:val="18"/>
        </w:rPr>
      </w:pPr>
      <w:r w:rsidRPr="00C83656">
        <w:rPr>
          <w:rFonts w:eastAsia="Calibri" w:cstheme="minorHAnsi"/>
          <w:b/>
          <w:bCs/>
          <w:i/>
          <w:iCs/>
          <w:sz w:val="18"/>
          <w:szCs w:val="18"/>
        </w:rPr>
        <w:t>CSR Manager Network</w:t>
      </w:r>
      <w:r w:rsidRPr="00C83656">
        <w:rPr>
          <w:rFonts w:eastAsia="Calibri" w:cstheme="minorHAnsi"/>
          <w:i/>
          <w:iCs/>
          <w:sz w:val="18"/>
          <w:szCs w:val="18"/>
        </w:rPr>
        <w:t xml:space="preserve"> è l’associazione che dal 2006 riunisce professionisti e manager che si dedicano alla definizione e alla realizzazione delle strategie e dei progetti socio-ambientali e di sostenibilità nelle imprese e in altre organizzazioni. Opera per promuovere la professionalità dei responsabili aziendali della CSR e per diffondere la cultura della sostenibilità, concepita come uno strumento di competitività delle aziende e di sviluppo del paese. Promuove attività di ricerca sui temi della sostenibilità e delle professione di CSR Manager, secondo gli indirizzi espressi al proprio Comitato Scientifico e con la collaborazione di ALTIS – Alta scuola impresa e società dell’Università Cattolica del Sacro Cuore.</w:t>
      </w:r>
      <w:r w:rsidR="00F22446" w:rsidRPr="00C83656">
        <w:rPr>
          <w:rFonts w:eastAsia="Calibri" w:cstheme="minorHAnsi"/>
          <w:i/>
          <w:iCs/>
          <w:sz w:val="18"/>
          <w:szCs w:val="18"/>
        </w:rPr>
        <w:t xml:space="preserve"> </w:t>
      </w:r>
      <w:r w:rsidRPr="00C83656">
        <w:rPr>
          <w:rFonts w:eastAsia="Calibri" w:cstheme="minorHAnsi"/>
          <w:i/>
          <w:iCs/>
          <w:sz w:val="18"/>
          <w:szCs w:val="18"/>
        </w:rPr>
        <w:t xml:space="preserve">Nel 2016 è diventato partner e rappresentante dell’Italia nel </w:t>
      </w:r>
      <w:hyperlink r:id="rId11" w:history="1">
        <w:r w:rsidRPr="00C83656">
          <w:rPr>
            <w:rFonts w:eastAsia="Calibri" w:cstheme="minorHAnsi"/>
            <w:i/>
            <w:iCs/>
            <w:color w:val="0563C1"/>
            <w:sz w:val="18"/>
            <w:szCs w:val="18"/>
            <w:u w:val="single"/>
          </w:rPr>
          <w:t>Global Network</w:t>
        </w:r>
      </w:hyperlink>
      <w:r w:rsidRPr="00C83656">
        <w:rPr>
          <w:rFonts w:eastAsia="Calibri" w:cstheme="minorHAnsi"/>
          <w:i/>
          <w:iCs/>
          <w:color w:val="0563C1"/>
          <w:sz w:val="18"/>
          <w:szCs w:val="18"/>
          <w:u w:val="single"/>
        </w:rPr>
        <w:t xml:space="preserve"> </w:t>
      </w:r>
      <w:r w:rsidRPr="00C83656">
        <w:rPr>
          <w:rFonts w:eastAsia="Calibri" w:cstheme="minorHAnsi"/>
          <w:i/>
          <w:iCs/>
          <w:sz w:val="18"/>
          <w:szCs w:val="18"/>
        </w:rPr>
        <w:t xml:space="preserve">del </w:t>
      </w:r>
      <w:hyperlink r:id="rId12" w:history="1">
        <w:r w:rsidRPr="00C83656">
          <w:rPr>
            <w:rFonts w:eastAsia="Calibri" w:cstheme="minorHAnsi"/>
            <w:i/>
            <w:iCs/>
            <w:color w:val="0563C1"/>
            <w:sz w:val="18"/>
            <w:szCs w:val="18"/>
            <w:u w:val="single"/>
          </w:rPr>
          <w:t>World Business Council for Sustainable Development</w:t>
        </w:r>
      </w:hyperlink>
      <w:r w:rsidRPr="00C83656">
        <w:rPr>
          <w:rFonts w:eastAsia="Calibri" w:cstheme="minorHAnsi"/>
          <w:i/>
          <w:iCs/>
          <w:sz w:val="18"/>
          <w:szCs w:val="18"/>
        </w:rPr>
        <w:t xml:space="preserve"> (WBCSD) e ha promosso e lanciato la</w:t>
      </w:r>
      <w:r w:rsidRPr="00C83656">
        <w:rPr>
          <w:rFonts w:eastAsia="Calibr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C83656">
        <w:rPr>
          <w:rFonts w:eastAsia="Calibri" w:cstheme="minorHAnsi"/>
          <w:b/>
          <w:bCs/>
          <w:i/>
          <w:iCs/>
          <w:sz w:val="18"/>
          <w:szCs w:val="18"/>
        </w:rPr>
        <w:t>European</w:t>
      </w:r>
      <w:proofErr w:type="spellEnd"/>
      <w:r w:rsidRPr="00C83656">
        <w:rPr>
          <w:rFonts w:eastAsia="Calibri" w:cstheme="minorHAnsi"/>
          <w:b/>
          <w:bCs/>
          <w:i/>
          <w:iCs/>
          <w:sz w:val="18"/>
          <w:szCs w:val="18"/>
        </w:rPr>
        <w:t xml:space="preserve"> Association of </w:t>
      </w:r>
      <w:proofErr w:type="spellStart"/>
      <w:r w:rsidRPr="00C83656">
        <w:rPr>
          <w:rFonts w:eastAsia="Calibri" w:cstheme="minorHAnsi"/>
          <w:b/>
          <w:bCs/>
          <w:i/>
          <w:iCs/>
          <w:sz w:val="18"/>
          <w:szCs w:val="18"/>
        </w:rPr>
        <w:t>Sustainability</w:t>
      </w:r>
      <w:proofErr w:type="spellEnd"/>
      <w:r w:rsidRPr="00C83656">
        <w:rPr>
          <w:rFonts w:eastAsia="Calibri" w:cstheme="minorHAnsi"/>
          <w:b/>
          <w:bCs/>
          <w:i/>
          <w:iCs/>
          <w:sz w:val="18"/>
          <w:szCs w:val="18"/>
        </w:rPr>
        <w:t xml:space="preserve"> </w:t>
      </w:r>
      <w:proofErr w:type="spellStart"/>
      <w:r w:rsidRPr="00C83656">
        <w:rPr>
          <w:rFonts w:eastAsia="Calibri" w:cstheme="minorHAnsi"/>
          <w:b/>
          <w:bCs/>
          <w:i/>
          <w:iCs/>
          <w:sz w:val="18"/>
          <w:szCs w:val="18"/>
        </w:rPr>
        <w:t>Professionals</w:t>
      </w:r>
      <w:proofErr w:type="spellEnd"/>
      <w:r w:rsidRPr="00C83656">
        <w:rPr>
          <w:rFonts w:eastAsia="Calibri" w:cstheme="minorHAnsi"/>
          <w:b/>
          <w:bCs/>
          <w:i/>
          <w:iCs/>
          <w:sz w:val="18"/>
          <w:szCs w:val="18"/>
        </w:rPr>
        <w:t xml:space="preserve"> (EASP)</w:t>
      </w:r>
      <w:r w:rsidR="007E0B68">
        <w:rPr>
          <w:rFonts w:eastAsia="Calibri" w:cstheme="minorHAnsi"/>
          <w:b/>
          <w:bCs/>
          <w:i/>
          <w:iCs/>
          <w:sz w:val="18"/>
          <w:szCs w:val="18"/>
        </w:rPr>
        <w:t xml:space="preserve"> </w:t>
      </w:r>
      <w:r w:rsidRPr="00C83656">
        <w:rPr>
          <w:rFonts w:eastAsia="Calibri" w:cstheme="minorHAnsi"/>
          <w:i/>
          <w:iCs/>
          <w:sz w:val="18"/>
          <w:szCs w:val="18"/>
        </w:rPr>
        <w:t xml:space="preserve"> che riunisce le maggiori organizzazioni europee che rappresentano i professionisti della CSR</w:t>
      </w:r>
      <w:r w:rsidR="00196CA3" w:rsidRPr="00C83656">
        <w:rPr>
          <w:rFonts w:cstheme="minorHAnsi"/>
          <w:b/>
          <w:bCs/>
          <w:i/>
          <w:sz w:val="18"/>
          <w:szCs w:val="18"/>
        </w:rPr>
        <w:t>.</w:t>
      </w:r>
    </w:p>
    <w:p w:rsidR="007E0B68" w:rsidRPr="007E0B68" w:rsidRDefault="007E0B68" w:rsidP="007E0B68">
      <w:pPr>
        <w:rPr>
          <w:rFonts w:cs="Arial"/>
          <w:b/>
          <w:sz w:val="2"/>
          <w:szCs w:val="18"/>
        </w:rPr>
      </w:pPr>
    </w:p>
    <w:p w:rsidR="007E0B68" w:rsidRPr="00C83656" w:rsidRDefault="007E0B68" w:rsidP="007E0B68">
      <w:pPr>
        <w:rPr>
          <w:sz w:val="18"/>
          <w:szCs w:val="18"/>
        </w:rPr>
      </w:pPr>
      <w:r w:rsidRPr="00C83656">
        <w:rPr>
          <w:rFonts w:cs="Arial"/>
          <w:b/>
          <w:sz w:val="18"/>
          <w:szCs w:val="18"/>
        </w:rPr>
        <w:t xml:space="preserve">Responsabile comunicazione: </w:t>
      </w:r>
      <w:r w:rsidRPr="00C83656">
        <w:rPr>
          <w:iCs/>
          <w:sz w:val="18"/>
          <w:szCs w:val="18"/>
          <w:lang w:eastAsia="it-IT"/>
        </w:rPr>
        <w:t>Laura Poggio +39 340 5505096 |</w:t>
      </w:r>
      <w:r w:rsidRPr="00C83656">
        <w:rPr>
          <w:i/>
          <w:iCs/>
          <w:sz w:val="18"/>
          <w:szCs w:val="18"/>
          <w:lang w:eastAsia="it-IT"/>
        </w:rPr>
        <w:t xml:space="preserve"> </w:t>
      </w:r>
      <w:hyperlink r:id="rId13" w:history="1">
        <w:r w:rsidRPr="00C83656">
          <w:rPr>
            <w:rStyle w:val="Collegamentoipertestuale"/>
            <w:iCs/>
            <w:color w:val="5B9BD5"/>
            <w:sz w:val="18"/>
            <w:szCs w:val="18"/>
            <w:lang w:eastAsia="it-IT"/>
          </w:rPr>
          <w:t>laura.poggio@csrmanagernetwork.it</w:t>
        </w:r>
      </w:hyperlink>
      <w:r w:rsidRPr="00C83656">
        <w:rPr>
          <w:rStyle w:val="Collegamentoipertestuale"/>
          <w:iCs/>
          <w:color w:val="5B9BD5"/>
          <w:sz w:val="18"/>
          <w:szCs w:val="18"/>
          <w:lang w:eastAsia="it-IT"/>
        </w:rPr>
        <w:t xml:space="preserve"> | </w:t>
      </w:r>
      <w:hyperlink r:id="rId14" w:history="1">
        <w:r w:rsidRPr="00C83656">
          <w:rPr>
            <w:rStyle w:val="Collegamentoipertestuale"/>
            <w:rFonts w:cs="Arial"/>
            <w:b/>
            <w:sz w:val="18"/>
            <w:szCs w:val="18"/>
          </w:rPr>
          <w:t>www.csrmanagernetwork.it</w:t>
        </w:r>
      </w:hyperlink>
    </w:p>
    <w:p w:rsidR="000D3C69" w:rsidRPr="007E0B68" w:rsidRDefault="000D3C69" w:rsidP="00F22446">
      <w:pPr>
        <w:spacing w:after="0" w:line="240" w:lineRule="auto"/>
        <w:rPr>
          <w:rFonts w:cstheme="minorHAnsi"/>
          <w:b/>
          <w:bCs/>
          <w:i/>
          <w:sz w:val="2"/>
          <w:szCs w:val="18"/>
        </w:rPr>
      </w:pPr>
    </w:p>
    <w:p w:rsidR="007E0B68" w:rsidRDefault="000D3C69" w:rsidP="007E0B68">
      <w:pPr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  <w:r w:rsidRPr="000D3C69">
        <w:rPr>
          <w:rFonts w:cstheme="minorHAnsi"/>
          <w:b/>
          <w:bCs/>
          <w:i/>
          <w:sz w:val="18"/>
          <w:szCs w:val="18"/>
        </w:rPr>
        <w:t>ALTIS</w:t>
      </w:r>
      <w:r w:rsidRPr="000D3C69">
        <w:rPr>
          <w:rFonts w:cstheme="minorHAnsi"/>
          <w:bCs/>
          <w:i/>
          <w:sz w:val="18"/>
          <w:szCs w:val="18"/>
        </w:rPr>
        <w:t xml:space="preserve"> è l'Alta Scuola Impresa e Società dell'Università Cattolica del Sacro Cuore che si occupa di management e imprenditorialità per lo sviluppo sostenibile. Sin dalla sua fondazione, nel 2005, ALTIS è impegnata ad approfondire e diffondere nuove conoscenze di imprenditorialità e management per la creazione di valore condiviso. Fondando il suo lavoro su una ricerca rigorosa, motore propulsore di tutta la sua attività, ALTIS affianca professionisti, manager e imprenditori con percorsi formativi finalizzati a sviluppare </w:t>
      </w:r>
    </w:p>
    <w:p w:rsidR="007E0B68" w:rsidRDefault="007E0B68" w:rsidP="007E0B68">
      <w:pPr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</w:p>
    <w:p w:rsidR="007E0B68" w:rsidRDefault="007E0B68" w:rsidP="007E0B68">
      <w:pPr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</w:p>
    <w:p w:rsidR="007E0B68" w:rsidRDefault="007E0B68" w:rsidP="007E0B68">
      <w:pPr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</w:p>
    <w:p w:rsidR="007E0B68" w:rsidRDefault="007E0B68" w:rsidP="007E0B68">
      <w:pPr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</w:p>
    <w:p w:rsidR="007E0B68" w:rsidRPr="000D3C69" w:rsidRDefault="000D3C69" w:rsidP="007E0B68">
      <w:pPr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  <w:r w:rsidRPr="000D3C69">
        <w:rPr>
          <w:rFonts w:cstheme="minorHAnsi"/>
          <w:bCs/>
          <w:i/>
          <w:sz w:val="18"/>
          <w:szCs w:val="18"/>
        </w:rPr>
        <w:t>competenze fondamentali per anticipare gli eventi, valutare le opzioni, affrontare situazioni problematiche e prendere decisioni incisive in grado di generare impatto positivo sulla società e sulle imprese.</w:t>
      </w:r>
    </w:p>
    <w:p w:rsidR="000D3C69" w:rsidRPr="000D3C69" w:rsidRDefault="000D3C69" w:rsidP="007E0B68">
      <w:pPr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  <w:r w:rsidRPr="000D3C69">
        <w:rPr>
          <w:rFonts w:cstheme="minorHAnsi"/>
          <w:bCs/>
          <w:i/>
          <w:sz w:val="18"/>
          <w:szCs w:val="18"/>
        </w:rPr>
        <w:t>A conferma del suo impegno, ALTIS offre servizi di consulenza nella governance e nel management di aziende pubbliche e private caratterizzati da un approccio unico per una piena integrazione dei principi di creazione di valore condiviso e si è specializzata in particolare nella rendicontazione non finanziaria, la misurazione d’impatto, l’impact entrepreneurship, l’integrazione dei piani di CSR nella strategia aziendale.</w:t>
      </w:r>
    </w:p>
    <w:p w:rsidR="000D3C69" w:rsidRPr="000D3C69" w:rsidRDefault="000D3C69" w:rsidP="007E0B68">
      <w:pPr>
        <w:spacing w:after="0" w:line="240" w:lineRule="auto"/>
        <w:jc w:val="both"/>
        <w:rPr>
          <w:rFonts w:cstheme="minorHAnsi"/>
          <w:bCs/>
          <w:i/>
          <w:sz w:val="18"/>
          <w:szCs w:val="18"/>
        </w:rPr>
      </w:pPr>
      <w:r w:rsidRPr="000D3C69">
        <w:rPr>
          <w:rFonts w:cstheme="minorHAnsi"/>
          <w:bCs/>
          <w:i/>
          <w:sz w:val="18"/>
          <w:szCs w:val="18"/>
        </w:rPr>
        <w:t>L’appartenenza al sistema delle Alte Scuole dell’Università Cattolica del Sacro Cuore e la sinergia tra accademici e professionisti di livello internazionale caratterizzano e valorizzano il patrimonio identitario di ALTIS, potenziando la sua capacità di azione.</w:t>
      </w:r>
    </w:p>
    <w:p w:rsidR="00F22446" w:rsidRPr="000D3C69" w:rsidRDefault="00F22446" w:rsidP="00F22446">
      <w:pPr>
        <w:rPr>
          <w:rFonts w:cs="Arial"/>
          <w:sz w:val="2"/>
        </w:rPr>
      </w:pPr>
    </w:p>
    <w:sectPr w:rsidR="00F22446" w:rsidRPr="000D3C69" w:rsidSect="0012639C">
      <w:headerReference w:type="default" r:id="rId15"/>
      <w:pgSz w:w="11906" w:h="16838"/>
      <w:pgMar w:top="1417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E13" w:rsidRDefault="00587E13" w:rsidP="0012639C">
      <w:pPr>
        <w:spacing w:after="0" w:line="240" w:lineRule="auto"/>
      </w:pPr>
      <w:r>
        <w:separator/>
      </w:r>
    </w:p>
  </w:endnote>
  <w:endnote w:type="continuationSeparator" w:id="0">
    <w:p w:rsidR="00587E13" w:rsidRDefault="00587E13" w:rsidP="00126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E13" w:rsidRDefault="00587E13" w:rsidP="0012639C">
      <w:pPr>
        <w:spacing w:after="0" w:line="240" w:lineRule="auto"/>
      </w:pPr>
      <w:r>
        <w:separator/>
      </w:r>
    </w:p>
  </w:footnote>
  <w:footnote w:type="continuationSeparator" w:id="0">
    <w:p w:rsidR="00587E13" w:rsidRDefault="00587E13" w:rsidP="00126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C69" w:rsidRDefault="000D3C69">
    <w:pPr>
      <w:pStyle w:val="Intestazione"/>
    </w:pPr>
  </w:p>
  <w:p w:rsidR="000D3C69" w:rsidRDefault="000D3C69">
    <w:pPr>
      <w:pStyle w:val="Intestazione"/>
    </w:pPr>
  </w:p>
  <w:p w:rsidR="000D3C69" w:rsidRDefault="000D3C69" w:rsidP="002B5CF3">
    <w:pPr>
      <w:pStyle w:val="Intestazione"/>
    </w:pPr>
    <w:r w:rsidRPr="00DA1802">
      <w:rPr>
        <w:rFonts w:ascii="Arial" w:hAnsi="Arial" w:cs="Arial"/>
        <w:noProof/>
        <w:color w:val="000000"/>
        <w:sz w:val="21"/>
        <w:szCs w:val="21"/>
        <w:lang w:eastAsia="it-IT"/>
      </w:rPr>
      <w:drawing>
        <wp:inline distT="0" distB="0" distL="0" distR="0" wp14:anchorId="0BC131FE" wp14:editId="0DA79972">
          <wp:extent cx="890251" cy="569085"/>
          <wp:effectExtent l="0" t="0" r="5715" b="2540"/>
          <wp:docPr id="2" name="Immagine 0" descr="CSR Manager Network logo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R Manager Network logo bl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0251" cy="56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it-IT"/>
      </w:rPr>
      <w:drawing>
        <wp:inline distT="0" distB="0" distL="0" distR="0">
          <wp:extent cx="1565453" cy="566079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917-logo-ALTIS_smal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142" cy="597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40474"/>
    <w:multiLevelType w:val="hybridMultilevel"/>
    <w:tmpl w:val="AFF020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86279"/>
    <w:multiLevelType w:val="hybridMultilevel"/>
    <w:tmpl w:val="1DACA536"/>
    <w:lvl w:ilvl="0" w:tplc="B9569D0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0F81"/>
    <w:multiLevelType w:val="hybridMultilevel"/>
    <w:tmpl w:val="18C6D8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316"/>
    <w:multiLevelType w:val="hybridMultilevel"/>
    <w:tmpl w:val="51BAD072"/>
    <w:lvl w:ilvl="0" w:tplc="53A8E092">
      <w:start w:val="1"/>
      <w:numFmt w:val="bullet"/>
      <w:pStyle w:val="Puntoelencointabella"/>
      <w:lvlText w:val="►"/>
      <w:lvlJc w:val="left"/>
      <w:pPr>
        <w:ind w:left="363" w:hanging="360"/>
      </w:pPr>
      <w:rPr>
        <w:rFonts w:ascii="Arial" w:hAnsi="Arial" w:hint="default"/>
        <w:color w:val="44546A" w:themeColor="text2"/>
        <w:sz w:val="20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593173EB"/>
    <w:multiLevelType w:val="hybridMultilevel"/>
    <w:tmpl w:val="BE266D5E"/>
    <w:lvl w:ilvl="0" w:tplc="5166179C">
      <w:start w:val="1"/>
      <w:numFmt w:val="bullet"/>
      <w:pStyle w:val="ElencoPuntatoTabell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F0B1A"/>
    <w:multiLevelType w:val="hybridMultilevel"/>
    <w:tmpl w:val="28FA6A5E"/>
    <w:lvl w:ilvl="0" w:tplc="3A8C7D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FA86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CD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9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604C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2CCC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AEEC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1C72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CCB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szQ3NzW2NDczNjVV0lEKTi0uzszPAykwrAUAWpChViwAAAA="/>
  </w:docVars>
  <w:rsids>
    <w:rsidRoot w:val="00596BA8"/>
    <w:rsid w:val="00006100"/>
    <w:rsid w:val="0002264C"/>
    <w:rsid w:val="00046ED5"/>
    <w:rsid w:val="0006394C"/>
    <w:rsid w:val="00080DEC"/>
    <w:rsid w:val="000834D3"/>
    <w:rsid w:val="000877C6"/>
    <w:rsid w:val="00095DB0"/>
    <w:rsid w:val="000D3C69"/>
    <w:rsid w:val="000F5FA3"/>
    <w:rsid w:val="0010237B"/>
    <w:rsid w:val="00102902"/>
    <w:rsid w:val="0012639C"/>
    <w:rsid w:val="001526CB"/>
    <w:rsid w:val="0016424E"/>
    <w:rsid w:val="00170E78"/>
    <w:rsid w:val="001758FF"/>
    <w:rsid w:val="00180A2D"/>
    <w:rsid w:val="00187AAC"/>
    <w:rsid w:val="00196CA3"/>
    <w:rsid w:val="001D133B"/>
    <w:rsid w:val="001D35B1"/>
    <w:rsid w:val="001F5C29"/>
    <w:rsid w:val="002219CD"/>
    <w:rsid w:val="00224514"/>
    <w:rsid w:val="002344D9"/>
    <w:rsid w:val="0027421D"/>
    <w:rsid w:val="002B5CF3"/>
    <w:rsid w:val="002B707B"/>
    <w:rsid w:val="002C3EED"/>
    <w:rsid w:val="003102B7"/>
    <w:rsid w:val="003102F9"/>
    <w:rsid w:val="00337A0A"/>
    <w:rsid w:val="003968B1"/>
    <w:rsid w:val="003B1BBE"/>
    <w:rsid w:val="003C181E"/>
    <w:rsid w:val="003C2757"/>
    <w:rsid w:val="003D106E"/>
    <w:rsid w:val="003E3B41"/>
    <w:rsid w:val="003F797E"/>
    <w:rsid w:val="004726EA"/>
    <w:rsid w:val="00476C0A"/>
    <w:rsid w:val="00482642"/>
    <w:rsid w:val="00492493"/>
    <w:rsid w:val="004E0CB5"/>
    <w:rsid w:val="004F28D2"/>
    <w:rsid w:val="005015F7"/>
    <w:rsid w:val="005413FF"/>
    <w:rsid w:val="00544654"/>
    <w:rsid w:val="005641FB"/>
    <w:rsid w:val="00572C74"/>
    <w:rsid w:val="00580983"/>
    <w:rsid w:val="00585DCB"/>
    <w:rsid w:val="00587E13"/>
    <w:rsid w:val="00596BA8"/>
    <w:rsid w:val="005C2A42"/>
    <w:rsid w:val="005C5233"/>
    <w:rsid w:val="005E346C"/>
    <w:rsid w:val="005F325B"/>
    <w:rsid w:val="00640FED"/>
    <w:rsid w:val="00671342"/>
    <w:rsid w:val="006847C9"/>
    <w:rsid w:val="006A334E"/>
    <w:rsid w:val="006A550C"/>
    <w:rsid w:val="006B7E94"/>
    <w:rsid w:val="006D2B6B"/>
    <w:rsid w:val="0070490B"/>
    <w:rsid w:val="007557D5"/>
    <w:rsid w:val="00781680"/>
    <w:rsid w:val="007D18C2"/>
    <w:rsid w:val="007E0B68"/>
    <w:rsid w:val="007F523F"/>
    <w:rsid w:val="00807BF8"/>
    <w:rsid w:val="00827C90"/>
    <w:rsid w:val="00837738"/>
    <w:rsid w:val="0086237B"/>
    <w:rsid w:val="008A6FD8"/>
    <w:rsid w:val="008A724A"/>
    <w:rsid w:val="008E30F1"/>
    <w:rsid w:val="008F3424"/>
    <w:rsid w:val="00911E76"/>
    <w:rsid w:val="00916F58"/>
    <w:rsid w:val="009209BC"/>
    <w:rsid w:val="00921AC7"/>
    <w:rsid w:val="00931DD6"/>
    <w:rsid w:val="0093403F"/>
    <w:rsid w:val="00934BBD"/>
    <w:rsid w:val="00953A64"/>
    <w:rsid w:val="00967EE0"/>
    <w:rsid w:val="009A56F3"/>
    <w:rsid w:val="009C6981"/>
    <w:rsid w:val="009D6652"/>
    <w:rsid w:val="009E0A6A"/>
    <w:rsid w:val="00A06C5B"/>
    <w:rsid w:val="00A240FA"/>
    <w:rsid w:val="00A52559"/>
    <w:rsid w:val="00A65AD4"/>
    <w:rsid w:val="00A84B49"/>
    <w:rsid w:val="00AC3404"/>
    <w:rsid w:val="00AC61CB"/>
    <w:rsid w:val="00B06FF1"/>
    <w:rsid w:val="00B266C2"/>
    <w:rsid w:val="00B31CF5"/>
    <w:rsid w:val="00B400F2"/>
    <w:rsid w:val="00B6622D"/>
    <w:rsid w:val="00BA2009"/>
    <w:rsid w:val="00BB3950"/>
    <w:rsid w:val="00BE263E"/>
    <w:rsid w:val="00BE5347"/>
    <w:rsid w:val="00BF5AA1"/>
    <w:rsid w:val="00C30D2C"/>
    <w:rsid w:val="00C6459D"/>
    <w:rsid w:val="00C64C53"/>
    <w:rsid w:val="00C77CD7"/>
    <w:rsid w:val="00C83656"/>
    <w:rsid w:val="00C904AC"/>
    <w:rsid w:val="00CD27B1"/>
    <w:rsid w:val="00CD5EDC"/>
    <w:rsid w:val="00CE0C03"/>
    <w:rsid w:val="00D12659"/>
    <w:rsid w:val="00D1686D"/>
    <w:rsid w:val="00D2172C"/>
    <w:rsid w:val="00D50AC3"/>
    <w:rsid w:val="00D669C1"/>
    <w:rsid w:val="00D8148A"/>
    <w:rsid w:val="00D948AF"/>
    <w:rsid w:val="00DC2D72"/>
    <w:rsid w:val="00DD39D0"/>
    <w:rsid w:val="00E36771"/>
    <w:rsid w:val="00E42CDF"/>
    <w:rsid w:val="00E52D86"/>
    <w:rsid w:val="00E60D68"/>
    <w:rsid w:val="00E61DAF"/>
    <w:rsid w:val="00E91941"/>
    <w:rsid w:val="00E94735"/>
    <w:rsid w:val="00EA5DFC"/>
    <w:rsid w:val="00EC7B07"/>
    <w:rsid w:val="00ED7A59"/>
    <w:rsid w:val="00EE6872"/>
    <w:rsid w:val="00EF2841"/>
    <w:rsid w:val="00F03A35"/>
    <w:rsid w:val="00F04ECD"/>
    <w:rsid w:val="00F20E1E"/>
    <w:rsid w:val="00F2185F"/>
    <w:rsid w:val="00F22446"/>
    <w:rsid w:val="00F42083"/>
    <w:rsid w:val="00F73443"/>
    <w:rsid w:val="00FC062C"/>
    <w:rsid w:val="00FE13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FA5D1"/>
  <w15:chartTrackingRefBased/>
  <w15:docId w15:val="{759593C4-65D6-416A-BA97-32BEAE46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91941"/>
    <w:pPr>
      <w:keepNext/>
      <w:keepLines/>
      <w:spacing w:before="480" w:after="120" w:line="240" w:lineRule="auto"/>
      <w:jc w:val="both"/>
      <w:outlineLvl w:val="1"/>
    </w:pPr>
    <w:rPr>
      <w:rFonts w:ascii="Garamond" w:eastAsiaTheme="minorEastAsia" w:hAnsi="Garamond" w:cs="Times New Roman"/>
      <w:b/>
      <w:bCs/>
      <w:color w:val="44546A" w:themeColor="text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639C"/>
  </w:style>
  <w:style w:type="paragraph" w:styleId="Pidipagina">
    <w:name w:val="footer"/>
    <w:basedOn w:val="Normale"/>
    <w:link w:val="PidipaginaCarattere"/>
    <w:uiPriority w:val="99"/>
    <w:unhideWhenUsed/>
    <w:rsid w:val="00126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639C"/>
  </w:style>
  <w:style w:type="paragraph" w:customStyle="1" w:styleId="Normale1">
    <w:name w:val="Normale1"/>
    <w:rsid w:val="0012639C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E13AF"/>
    <w:rPr>
      <w:color w:val="0563C1"/>
      <w:u w:val="single"/>
    </w:rPr>
  </w:style>
  <w:style w:type="character" w:styleId="Enfasigrassetto">
    <w:name w:val="Strong"/>
    <w:basedOn w:val="Carpredefinitoparagrafo"/>
    <w:uiPriority w:val="22"/>
    <w:qFormat/>
    <w:rsid w:val="00FE13AF"/>
    <w:rPr>
      <w:b/>
      <w:bCs/>
    </w:rPr>
  </w:style>
  <w:style w:type="paragraph" w:styleId="NormaleWeb">
    <w:name w:val="Normal (Web)"/>
    <w:basedOn w:val="Normale"/>
    <w:uiPriority w:val="99"/>
    <w:unhideWhenUsed/>
    <w:rsid w:val="00FE1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65AD4"/>
  </w:style>
  <w:style w:type="paragraph" w:styleId="Sottotitolo">
    <w:name w:val="Subtitle"/>
    <w:basedOn w:val="Normale"/>
    <w:next w:val="Normale"/>
    <w:link w:val="SottotitoloCarattere"/>
    <w:uiPriority w:val="99"/>
    <w:qFormat/>
    <w:rsid w:val="002B5CF3"/>
    <w:pPr>
      <w:numPr>
        <w:ilvl w:val="1"/>
      </w:numPr>
      <w:spacing w:after="0" w:line="240" w:lineRule="auto"/>
      <w:contextualSpacing/>
      <w:jc w:val="center"/>
    </w:pPr>
    <w:rPr>
      <w:rFonts w:asciiTheme="majorHAnsi" w:eastAsiaTheme="majorEastAsia" w:hAnsiTheme="majorHAnsi" w:cstheme="majorHAnsi"/>
      <w:iCs/>
      <w:color w:val="000000" w:themeColor="text1"/>
      <w:spacing w:val="15"/>
      <w:sz w:val="32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B5CF3"/>
    <w:rPr>
      <w:rFonts w:asciiTheme="majorHAnsi" w:eastAsiaTheme="majorEastAsia" w:hAnsiTheme="majorHAnsi" w:cstheme="majorHAnsi"/>
      <w:iCs/>
      <w:color w:val="000000" w:themeColor="text1"/>
      <w:spacing w:val="15"/>
      <w:sz w:val="32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A5DF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A5DFC"/>
    <w:rPr>
      <w:rFonts w:ascii="Times New Roman" w:hAnsi="Times New Roman" w:cs="Times New Roman"/>
      <w:color w:val="000000"/>
      <w:sz w:val="24"/>
      <w:szCs w:val="24"/>
      <w:lang w:eastAsia="it-IT"/>
    </w:rPr>
  </w:style>
  <w:style w:type="paragraph" w:customStyle="1" w:styleId="Default">
    <w:name w:val="Default"/>
    <w:rsid w:val="00EA5DF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Testo">
    <w:name w:val="Testo"/>
    <w:basedOn w:val="Normale"/>
    <w:qFormat/>
    <w:rsid w:val="00916F58"/>
    <w:pPr>
      <w:spacing w:after="0" w:line="276" w:lineRule="auto"/>
      <w:jc w:val="both"/>
    </w:pPr>
    <w:rPr>
      <w:rFonts w:eastAsia="Times New Roman" w:cs="Times New Roman"/>
      <w:kern w:val="32"/>
      <w:sz w:val="20"/>
      <w:szCs w:val="20"/>
      <w:lang w:val="en-GB" w:eastAsia="it-IT"/>
    </w:rPr>
  </w:style>
  <w:style w:type="paragraph" w:customStyle="1" w:styleId="ElencoPuntatoTabella">
    <w:name w:val="ElencoPuntatoTabella"/>
    <w:basedOn w:val="Normale"/>
    <w:link w:val="ElencoPuntatoTabellaCarattere"/>
    <w:qFormat/>
    <w:rsid w:val="00640FED"/>
    <w:pPr>
      <w:numPr>
        <w:numId w:val="1"/>
      </w:numPr>
      <w:spacing w:before="360" w:after="360" w:line="240" w:lineRule="auto"/>
      <w:contextualSpacing/>
      <w:jc w:val="both"/>
    </w:pPr>
    <w:rPr>
      <w:rFonts w:ascii="Garamond" w:eastAsia="Times New Roman" w:hAnsi="Garamond" w:cs="Arial"/>
      <w:sz w:val="20"/>
      <w:szCs w:val="24"/>
      <w:lang w:eastAsia="it-IT"/>
    </w:rPr>
  </w:style>
  <w:style w:type="character" w:customStyle="1" w:styleId="ElencoPuntatoTabellaCarattere">
    <w:name w:val="ElencoPuntatoTabella Carattere"/>
    <w:basedOn w:val="Carpredefinitoparagrafo"/>
    <w:link w:val="ElencoPuntatoTabella"/>
    <w:rsid w:val="00640FED"/>
    <w:rPr>
      <w:rFonts w:ascii="Garamond" w:eastAsia="Times New Roman" w:hAnsi="Garamond" w:cs="Arial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1941"/>
    <w:rPr>
      <w:rFonts w:ascii="Garamond" w:eastAsiaTheme="minorEastAsia" w:hAnsi="Garamond" w:cs="Times New Roman"/>
      <w:b/>
      <w:bCs/>
      <w:color w:val="44546A" w:themeColor="text2"/>
      <w:lang w:eastAsia="it-IT"/>
    </w:rPr>
  </w:style>
  <w:style w:type="paragraph" w:customStyle="1" w:styleId="Puntoelencointabella">
    <w:name w:val="Punto elenco in tabella"/>
    <w:basedOn w:val="Paragrafoelenco"/>
    <w:qFormat/>
    <w:rsid w:val="00E91941"/>
    <w:pPr>
      <w:numPr>
        <w:numId w:val="2"/>
      </w:numPr>
      <w:tabs>
        <w:tab w:val="right" w:pos="9923"/>
      </w:tabs>
      <w:spacing w:before="240" w:after="240" w:line="240" w:lineRule="auto"/>
      <w:ind w:left="425" w:hanging="425"/>
      <w:jc w:val="both"/>
    </w:pPr>
    <w:rPr>
      <w:rFonts w:ascii="Garamond" w:eastAsiaTheme="minorEastAsia" w:hAnsi="Garamond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91941"/>
    <w:pPr>
      <w:ind w:left="720"/>
      <w:contextualSpacing/>
    </w:pPr>
  </w:style>
  <w:style w:type="paragraph" w:customStyle="1" w:styleId="IntestazioneTabella">
    <w:name w:val="Intestazione Tabella"/>
    <w:basedOn w:val="Normale"/>
    <w:link w:val="IntestazioneTabellaCarattere"/>
    <w:qFormat/>
    <w:rsid w:val="002344D9"/>
    <w:pPr>
      <w:spacing w:after="0" w:line="240" w:lineRule="auto"/>
      <w:contextualSpacing/>
      <w:jc w:val="right"/>
    </w:pPr>
    <w:rPr>
      <w:rFonts w:ascii="Garamond" w:eastAsiaTheme="minorEastAsia" w:hAnsi="Garamond" w:cs="Times New Roman"/>
      <w:b/>
      <w:sz w:val="20"/>
      <w:szCs w:val="24"/>
      <w:lang w:eastAsia="it-IT"/>
    </w:rPr>
  </w:style>
  <w:style w:type="character" w:customStyle="1" w:styleId="IntestazioneTabellaCarattere">
    <w:name w:val="Intestazione Tabella Carattere"/>
    <w:basedOn w:val="Carpredefinitoparagrafo"/>
    <w:link w:val="IntestazioneTabella"/>
    <w:rsid w:val="002344D9"/>
    <w:rPr>
      <w:rFonts w:ascii="Garamond" w:eastAsiaTheme="minorEastAsia" w:hAnsi="Garamond" w:cs="Times New Roman"/>
      <w:b/>
      <w:sz w:val="20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55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1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72792">
          <w:marLeft w:val="44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6536">
          <w:marLeft w:val="446"/>
          <w:marRight w:val="0"/>
          <w:marTop w:val="0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72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4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is.unicatt.it/" TargetMode="External"/><Relationship Id="rId13" Type="http://schemas.openxmlformats.org/officeDocument/2006/relationships/hyperlink" Target="mailto:laura.poggio@csrmanagernetwork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rmanagernetwork.it/home/" TargetMode="External"/><Relationship Id="rId12" Type="http://schemas.openxmlformats.org/officeDocument/2006/relationships/hyperlink" Target="http://www.wbcsd.org/home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bcsd.org/global-network.asp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osservatoriodnf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sonime.it/Pagine/home.aspx" TargetMode="External"/><Relationship Id="rId14" Type="http://schemas.openxmlformats.org/officeDocument/2006/relationships/hyperlink" Target="http://www.csrmanagernetwork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Poggio</dc:creator>
  <cp:keywords/>
  <dc:description/>
  <cp:lastModifiedBy>Laura Poggio</cp:lastModifiedBy>
  <cp:revision>5</cp:revision>
  <cp:lastPrinted>2019-05-16T16:36:00Z</cp:lastPrinted>
  <dcterms:created xsi:type="dcterms:W3CDTF">2019-05-18T14:06:00Z</dcterms:created>
  <dcterms:modified xsi:type="dcterms:W3CDTF">2019-05-30T09:06:00Z</dcterms:modified>
</cp:coreProperties>
</file>